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BC1C" w14:textId="77777777" w:rsidR="004A2D90" w:rsidRDefault="004A2D90" w:rsidP="004A2D90">
      <w:bookmarkStart w:id="0" w:name="_Hlk63340893"/>
    </w:p>
    <w:p w14:paraId="50B57395" w14:textId="77777777" w:rsidR="004A2D90" w:rsidRDefault="004A2D90" w:rsidP="004A2D90"/>
    <w:p w14:paraId="5C200D3E" w14:textId="77777777" w:rsidR="004A2D90" w:rsidRPr="00385406" w:rsidRDefault="004A2D90" w:rsidP="004A2D90">
      <w:pPr>
        <w:jc w:val="center"/>
        <w:rPr>
          <w:sz w:val="52"/>
          <w:szCs w:val="52"/>
        </w:rPr>
      </w:pPr>
    </w:p>
    <w:p w14:paraId="54A8F5DD" w14:textId="77777777" w:rsidR="004A2D90" w:rsidRPr="00565A93" w:rsidRDefault="004A2D90" w:rsidP="004A2D90">
      <w:pPr>
        <w:jc w:val="center"/>
        <w:rPr>
          <w:rFonts w:asciiTheme="majorHAnsi" w:hAnsiTheme="majorHAnsi" w:cstheme="majorHAnsi"/>
          <w:sz w:val="52"/>
          <w:szCs w:val="52"/>
        </w:rPr>
      </w:pPr>
      <w:bookmarkStart w:id="1" w:name="_Hlk63341405"/>
      <w:r w:rsidRPr="00565A93">
        <w:rPr>
          <w:rFonts w:asciiTheme="majorHAnsi" w:hAnsiTheme="majorHAnsi" w:cstheme="majorHAnsi"/>
          <w:sz w:val="52"/>
          <w:szCs w:val="52"/>
        </w:rPr>
        <w:t>CAHIER DES CHARGES</w:t>
      </w:r>
    </w:p>
    <w:p w14:paraId="70ED002A" w14:textId="77777777" w:rsidR="004A2D90" w:rsidRPr="00565A93" w:rsidRDefault="004A2D90" w:rsidP="004A2D90">
      <w:pPr>
        <w:rPr>
          <w:rFonts w:asciiTheme="majorHAnsi" w:hAnsiTheme="majorHAnsi" w:cstheme="majorHAnsi"/>
        </w:rPr>
      </w:pPr>
    </w:p>
    <w:p w14:paraId="4F2C4624" w14:textId="5EF984B3" w:rsidR="004A2D90" w:rsidRPr="00565A93" w:rsidRDefault="004A2D90" w:rsidP="004A2D90">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30"/>
          <w:szCs w:val="30"/>
        </w:rPr>
      </w:pPr>
      <w:r w:rsidRPr="00565A93">
        <w:rPr>
          <w:rFonts w:asciiTheme="majorHAnsi" w:hAnsiTheme="majorHAnsi" w:cstheme="majorHAnsi"/>
          <w:sz w:val="30"/>
          <w:szCs w:val="30"/>
        </w:rPr>
        <w:t>Affrètement de navires pour la réalisation de draguage sur le gisement coquillier des Glénan</w:t>
      </w:r>
    </w:p>
    <w:p w14:paraId="708BA8B8" w14:textId="77777777" w:rsidR="004A2D90" w:rsidRPr="00565A93" w:rsidRDefault="004A2D90" w:rsidP="004A2D90">
      <w:pPr>
        <w:rPr>
          <w:rFonts w:asciiTheme="majorHAnsi" w:hAnsiTheme="majorHAnsi" w:cstheme="majorHAnsi"/>
        </w:rPr>
      </w:pPr>
    </w:p>
    <w:p w14:paraId="38D48C49" w14:textId="77777777" w:rsidR="004A2D90" w:rsidRPr="00565A93" w:rsidRDefault="004A2D90" w:rsidP="004A2D90">
      <w:pPr>
        <w:rPr>
          <w:rFonts w:asciiTheme="majorHAnsi" w:hAnsiTheme="majorHAnsi" w:cstheme="majorHAnsi"/>
        </w:rPr>
        <w:sectPr w:rsidR="004A2D90" w:rsidRPr="00565A93">
          <w:pgSz w:w="11906" w:h="16838"/>
          <w:pgMar w:top="1417" w:right="1417" w:bottom="1417" w:left="1417" w:header="708" w:footer="708" w:gutter="0"/>
          <w:cols w:space="708"/>
          <w:docGrid w:linePitch="360"/>
        </w:sectPr>
      </w:pPr>
    </w:p>
    <w:p w14:paraId="4D16A6A8" w14:textId="77777777" w:rsidR="004A2D90" w:rsidRPr="00565A93" w:rsidRDefault="004A2D90" w:rsidP="00565A93">
      <w:pPr>
        <w:pStyle w:val="Titre1"/>
        <w:jc w:val="both"/>
        <w:rPr>
          <w:rFonts w:cstheme="majorHAnsi"/>
          <w:sz w:val="24"/>
          <w:szCs w:val="24"/>
        </w:rPr>
      </w:pPr>
      <w:r w:rsidRPr="00565A93">
        <w:rPr>
          <w:rFonts w:cstheme="majorHAnsi"/>
          <w:sz w:val="24"/>
          <w:szCs w:val="24"/>
        </w:rPr>
        <w:lastRenderedPageBreak/>
        <w:t xml:space="preserve">Contexte </w:t>
      </w:r>
    </w:p>
    <w:p w14:paraId="79046893" w14:textId="77777777" w:rsidR="004A2D90" w:rsidRPr="00565A93" w:rsidRDefault="004A2D90" w:rsidP="00565A93">
      <w:pPr>
        <w:pStyle w:val="Paragraphedeliste"/>
        <w:jc w:val="both"/>
        <w:rPr>
          <w:rFonts w:asciiTheme="majorHAnsi" w:hAnsiTheme="majorHAnsi" w:cstheme="majorHAnsi"/>
          <w:sz w:val="24"/>
          <w:szCs w:val="24"/>
        </w:rPr>
      </w:pPr>
    </w:p>
    <w:p w14:paraId="392CBEAC" w14:textId="77777777" w:rsidR="004A2D90" w:rsidRPr="00565A93" w:rsidRDefault="004A2D90" w:rsidP="00565A93">
      <w:pPr>
        <w:pStyle w:val="Titre2"/>
        <w:jc w:val="both"/>
        <w:rPr>
          <w:rFonts w:cstheme="majorHAnsi"/>
          <w:sz w:val="24"/>
          <w:szCs w:val="24"/>
        </w:rPr>
      </w:pPr>
      <w:bookmarkStart w:id="2" w:name="_Toc418250320"/>
      <w:bookmarkStart w:id="3" w:name="_Toc8915552"/>
      <w:r w:rsidRPr="00565A93">
        <w:rPr>
          <w:rFonts w:cstheme="majorHAnsi"/>
          <w:sz w:val="24"/>
          <w:szCs w:val="24"/>
        </w:rPr>
        <w:t>1.1 Le Comité départemental des pêches maritimes et des élevages marins du Finistère</w:t>
      </w:r>
      <w:bookmarkEnd w:id="2"/>
      <w:bookmarkEnd w:id="3"/>
      <w:r w:rsidRPr="00565A93">
        <w:rPr>
          <w:rFonts w:cstheme="majorHAnsi"/>
          <w:sz w:val="24"/>
          <w:szCs w:val="24"/>
        </w:rPr>
        <w:t xml:space="preserve"> </w:t>
      </w:r>
    </w:p>
    <w:p w14:paraId="049B9C49" w14:textId="77777777" w:rsidR="004A2D90" w:rsidRPr="00565A93" w:rsidRDefault="004A2D90" w:rsidP="00565A93">
      <w:pPr>
        <w:jc w:val="both"/>
        <w:rPr>
          <w:rFonts w:asciiTheme="majorHAnsi" w:hAnsiTheme="majorHAnsi" w:cstheme="majorHAnsi"/>
          <w:sz w:val="24"/>
          <w:szCs w:val="24"/>
        </w:rPr>
      </w:pPr>
    </w:p>
    <w:p w14:paraId="60C76127" w14:textId="77777777" w:rsidR="004A2D90" w:rsidRPr="00565A93" w:rsidRDefault="004A2D90" w:rsidP="00565A93">
      <w:pPr>
        <w:pStyle w:val="NormalWeb"/>
        <w:shd w:val="clear" w:color="auto" w:fill="FFFFFF"/>
        <w:spacing w:before="75" w:beforeAutospacing="0" w:after="300" w:afterAutospacing="0" w:line="360" w:lineRule="auto"/>
        <w:jc w:val="both"/>
        <w:rPr>
          <w:rFonts w:asciiTheme="majorHAnsi" w:hAnsiTheme="majorHAnsi" w:cstheme="majorHAnsi"/>
          <w:color w:val="004364"/>
        </w:rPr>
      </w:pPr>
      <w:r w:rsidRPr="00565A93">
        <w:rPr>
          <w:rFonts w:asciiTheme="majorHAnsi" w:hAnsiTheme="majorHAnsi" w:cstheme="majorHAnsi"/>
          <w:kern w:val="2"/>
          <w:lang w:eastAsia="zh-CN"/>
        </w:rPr>
        <w:t>Le Comité départemental des pêches maritimes et des élevages marins du Finistère (CDPMEM 29) est une organisation professionnelle de droit privé exerçant des missions de service public. Il rassemble l’ensemble des pêcheurs professionnels du Finistère. Avec ses de 1250 km de côtes, le Finistère regroupe plus de 600 navires de pêche et environ 2500 marins-pêcheurs, 8 halles à marée, et plus d’une trentaine de ports de débarquement. Le tout forgeant le tissu économique du département, la filière pêche représente plus de </w:t>
      </w:r>
      <w:r w:rsidRPr="00565A93">
        <w:rPr>
          <w:rFonts w:asciiTheme="majorHAnsi" w:hAnsiTheme="majorHAnsi" w:cstheme="majorHAnsi"/>
          <w:bCs/>
          <w:kern w:val="2"/>
          <w:lang w:eastAsia="zh-CN"/>
        </w:rPr>
        <w:t>11 500 emplois</w:t>
      </w:r>
      <w:r w:rsidRPr="00565A93">
        <w:rPr>
          <w:rFonts w:asciiTheme="majorHAnsi" w:hAnsiTheme="majorHAnsi" w:cstheme="majorHAnsi"/>
          <w:color w:val="004364"/>
        </w:rPr>
        <w:t>.</w:t>
      </w:r>
    </w:p>
    <w:p w14:paraId="5BE6FDB1" w14:textId="6A50DEDB" w:rsidR="004A2D90" w:rsidRPr="00565A93" w:rsidRDefault="004A2D90" w:rsidP="00565A93">
      <w:pPr>
        <w:pStyle w:val="TexteBloc"/>
        <w:spacing w:before="60"/>
        <w:rPr>
          <w:rFonts w:asciiTheme="majorHAnsi" w:hAnsiTheme="majorHAnsi" w:cstheme="majorHAnsi"/>
          <w:sz w:val="24"/>
          <w:szCs w:val="24"/>
        </w:rPr>
      </w:pPr>
      <w:r w:rsidRPr="00565A93">
        <w:rPr>
          <w:rFonts w:asciiTheme="majorHAnsi" w:hAnsiTheme="majorHAnsi" w:cstheme="majorHAnsi"/>
          <w:sz w:val="24"/>
          <w:szCs w:val="24"/>
        </w:rPr>
        <w:t>Le Finistère est le premier département français au niveau de la filière pêche, il représente </w:t>
      </w:r>
      <w:r w:rsidRPr="00565A93">
        <w:rPr>
          <w:rFonts w:asciiTheme="majorHAnsi" w:hAnsiTheme="majorHAnsi" w:cstheme="majorHAnsi"/>
          <w:b/>
          <w:bCs/>
          <w:sz w:val="24"/>
          <w:szCs w:val="24"/>
        </w:rPr>
        <w:t>25 % de la pêche fraîche </w:t>
      </w:r>
      <w:r w:rsidRPr="00565A93">
        <w:rPr>
          <w:rFonts w:asciiTheme="majorHAnsi" w:hAnsiTheme="majorHAnsi" w:cstheme="majorHAnsi"/>
          <w:sz w:val="24"/>
          <w:szCs w:val="24"/>
        </w:rPr>
        <w:t xml:space="preserve">débarquée en France. Le département est également représentatif par sa grande diversité de métiers pratiqués au sein d’une flottille importante : caseyeurs, fileyeurs, goémoniers, ligneurs, palangriers, chalutiers, bolincheurs, thoniers senneurs, dragueurs et pêcheurs à </w:t>
      </w:r>
      <w:r w:rsidR="004F351F" w:rsidRPr="00565A93">
        <w:rPr>
          <w:rFonts w:asciiTheme="majorHAnsi" w:hAnsiTheme="majorHAnsi" w:cstheme="majorHAnsi"/>
          <w:sz w:val="24"/>
          <w:szCs w:val="24"/>
        </w:rPr>
        <w:t>pied</w:t>
      </w:r>
      <w:r w:rsidRPr="00565A93">
        <w:rPr>
          <w:rFonts w:asciiTheme="majorHAnsi" w:hAnsiTheme="majorHAnsi" w:cstheme="majorHAnsi"/>
          <w:sz w:val="24"/>
          <w:szCs w:val="24"/>
        </w:rPr>
        <w:t>.</w:t>
      </w:r>
    </w:p>
    <w:p w14:paraId="479F580D" w14:textId="77777777" w:rsidR="004A2D90" w:rsidRPr="00565A93" w:rsidRDefault="004A2D90" w:rsidP="00565A93">
      <w:pPr>
        <w:pStyle w:val="TexteBloc"/>
        <w:spacing w:before="60"/>
        <w:rPr>
          <w:rFonts w:asciiTheme="majorHAnsi" w:hAnsiTheme="majorHAnsi" w:cstheme="majorHAnsi"/>
          <w:sz w:val="24"/>
          <w:szCs w:val="24"/>
        </w:rPr>
      </w:pPr>
    </w:p>
    <w:p w14:paraId="4701C204" w14:textId="6F864D81" w:rsidR="004A2D90" w:rsidRPr="00565A93" w:rsidRDefault="00E427FE" w:rsidP="00565A93">
      <w:pPr>
        <w:pStyle w:val="TexteBloc"/>
        <w:spacing w:before="60"/>
        <w:rPr>
          <w:rFonts w:asciiTheme="majorHAnsi" w:hAnsiTheme="majorHAnsi" w:cstheme="majorHAnsi"/>
          <w:sz w:val="24"/>
          <w:szCs w:val="24"/>
        </w:rPr>
      </w:pPr>
      <w:r w:rsidRPr="00565A93">
        <w:rPr>
          <w:rFonts w:asciiTheme="majorHAnsi" w:hAnsiTheme="majorHAnsi" w:cstheme="majorHAnsi"/>
          <w:sz w:val="24"/>
          <w:szCs w:val="24"/>
        </w:rPr>
        <w:t>Par</w:t>
      </w:r>
      <w:r w:rsidR="004A2D90" w:rsidRPr="00565A93">
        <w:rPr>
          <w:rFonts w:asciiTheme="majorHAnsi" w:hAnsiTheme="majorHAnsi" w:cstheme="majorHAnsi"/>
          <w:sz w:val="24"/>
          <w:szCs w:val="24"/>
        </w:rPr>
        <w:t xml:space="preserve"> sa diversité de métiers, ses genres de navigation (petite pêche, pêche côtière, pêche hauturière) et son histoire, la pêche finistérienne est présente à travers le monde. </w:t>
      </w:r>
    </w:p>
    <w:p w14:paraId="297CDE62" w14:textId="77777777" w:rsidR="004A2D90" w:rsidRPr="00565A93" w:rsidRDefault="004A2D90" w:rsidP="00565A93">
      <w:pPr>
        <w:pStyle w:val="TexteBloc"/>
        <w:spacing w:before="60"/>
        <w:rPr>
          <w:rFonts w:asciiTheme="majorHAnsi" w:hAnsiTheme="majorHAnsi" w:cstheme="majorHAnsi"/>
          <w:sz w:val="24"/>
          <w:szCs w:val="24"/>
        </w:rPr>
      </w:pPr>
      <w:r w:rsidRPr="00565A93">
        <w:rPr>
          <w:rFonts w:asciiTheme="majorHAnsi" w:hAnsiTheme="majorHAnsi" w:cstheme="majorHAnsi"/>
          <w:sz w:val="24"/>
          <w:szCs w:val="24"/>
        </w:rPr>
        <w:t xml:space="preserve">La variété des métiers s’explique par une identité maritime forte mais également par les différentes façades maritimes du département, avec des ressources halieutiques caractéristiques selon chaque zone de pêche.  </w:t>
      </w:r>
    </w:p>
    <w:p w14:paraId="366C21A8" w14:textId="77777777" w:rsidR="004A2D90" w:rsidRPr="00565A93" w:rsidRDefault="004A2D90" w:rsidP="00565A93">
      <w:pPr>
        <w:pStyle w:val="TexteBloc"/>
        <w:spacing w:before="60"/>
        <w:rPr>
          <w:rFonts w:asciiTheme="majorHAnsi" w:hAnsiTheme="majorHAnsi" w:cstheme="majorHAnsi"/>
          <w:sz w:val="24"/>
          <w:szCs w:val="24"/>
        </w:rPr>
      </w:pPr>
    </w:p>
    <w:p w14:paraId="6D53EB84" w14:textId="77777777" w:rsidR="004A2D90" w:rsidRPr="00565A93" w:rsidRDefault="004A2D90" w:rsidP="00565A93">
      <w:pPr>
        <w:pStyle w:val="TexteBloc"/>
        <w:spacing w:before="60"/>
        <w:rPr>
          <w:rFonts w:asciiTheme="majorHAnsi" w:hAnsiTheme="majorHAnsi" w:cstheme="majorHAnsi"/>
          <w:sz w:val="24"/>
          <w:szCs w:val="24"/>
        </w:rPr>
      </w:pPr>
      <w:r w:rsidRPr="00565A93">
        <w:rPr>
          <w:rFonts w:asciiTheme="majorHAnsi" w:hAnsiTheme="majorHAnsi" w:cstheme="majorHAnsi"/>
          <w:sz w:val="24"/>
          <w:szCs w:val="24"/>
        </w:rPr>
        <w:t>Instauré en 2012 par la fusion des Comités locaux des pêches maritimes et des élevages marins des différents secteurs du Finistère, Le CDPMEM 29 a comme missions principales :</w:t>
      </w:r>
    </w:p>
    <w:p w14:paraId="477F1DB7" w14:textId="77777777" w:rsidR="004A2D90" w:rsidRPr="00565A93" w:rsidRDefault="004A2D90" w:rsidP="00565A93">
      <w:pPr>
        <w:pStyle w:val="TexteBloc"/>
        <w:spacing w:before="60"/>
        <w:rPr>
          <w:rFonts w:asciiTheme="majorHAnsi" w:hAnsiTheme="majorHAnsi" w:cstheme="majorHAnsi"/>
          <w:sz w:val="24"/>
          <w:szCs w:val="24"/>
        </w:rPr>
      </w:pPr>
    </w:p>
    <w:p w14:paraId="72A3CB92" w14:textId="77777777" w:rsidR="004A2D90" w:rsidRPr="00565A93" w:rsidRDefault="004A2D90" w:rsidP="00565A93">
      <w:pPr>
        <w:pStyle w:val="TexteBloc"/>
        <w:spacing w:before="60"/>
        <w:rPr>
          <w:rFonts w:asciiTheme="majorHAnsi" w:hAnsiTheme="majorHAnsi" w:cstheme="majorHAnsi"/>
          <w:b/>
          <w:sz w:val="24"/>
          <w:szCs w:val="24"/>
        </w:rPr>
      </w:pPr>
      <w:r w:rsidRPr="00565A93">
        <w:rPr>
          <w:rFonts w:asciiTheme="majorHAnsi" w:hAnsiTheme="majorHAnsi" w:cstheme="majorHAnsi"/>
          <w:b/>
          <w:sz w:val="24"/>
          <w:szCs w:val="24"/>
        </w:rPr>
        <w:t xml:space="preserve">- de défendre et représenter les intérêts généraux de tous les professionnels dans un principe de concertation, </w:t>
      </w:r>
    </w:p>
    <w:p w14:paraId="06EF2FBA" w14:textId="554F0661" w:rsidR="004A2D90" w:rsidRPr="00565A93" w:rsidRDefault="004A2D90" w:rsidP="00565A93">
      <w:pPr>
        <w:pStyle w:val="TexteBloc"/>
        <w:spacing w:before="60" w:line="276" w:lineRule="auto"/>
        <w:rPr>
          <w:rFonts w:asciiTheme="majorHAnsi" w:hAnsiTheme="majorHAnsi" w:cstheme="majorHAnsi"/>
          <w:b/>
          <w:sz w:val="24"/>
          <w:szCs w:val="24"/>
        </w:rPr>
      </w:pPr>
      <w:r w:rsidRPr="00565A93">
        <w:rPr>
          <w:rFonts w:asciiTheme="majorHAnsi" w:hAnsiTheme="majorHAnsi" w:cstheme="majorHAnsi"/>
          <w:b/>
          <w:sz w:val="24"/>
          <w:szCs w:val="24"/>
        </w:rPr>
        <w:t>- de délivrer des informations relatives à leur activité.</w:t>
      </w:r>
    </w:p>
    <w:p w14:paraId="2106AE11" w14:textId="77777777" w:rsidR="004A2D90" w:rsidRPr="00565A93" w:rsidRDefault="004A2D90" w:rsidP="00565A93">
      <w:pPr>
        <w:spacing w:line="360" w:lineRule="auto"/>
        <w:jc w:val="both"/>
        <w:rPr>
          <w:rFonts w:asciiTheme="majorHAnsi" w:hAnsiTheme="majorHAnsi" w:cstheme="majorHAnsi"/>
          <w:sz w:val="24"/>
          <w:szCs w:val="24"/>
        </w:rPr>
      </w:pPr>
      <w:r w:rsidRPr="00565A93">
        <w:rPr>
          <w:rFonts w:asciiTheme="majorHAnsi" w:hAnsiTheme="majorHAnsi" w:cstheme="majorHAnsi"/>
          <w:noProof/>
          <w:sz w:val="24"/>
          <w:szCs w:val="24"/>
          <w:lang w:eastAsia="fr-FR"/>
        </w:rPr>
        <w:lastRenderedPageBreak/>
        <w:drawing>
          <wp:anchor distT="0" distB="0" distL="114300" distR="114300" simplePos="0" relativeHeight="251659264" behindDoc="0" locked="0" layoutInCell="1" allowOverlap="1" wp14:anchorId="18507E32" wp14:editId="63060A98">
            <wp:simplePos x="0" y="0"/>
            <wp:positionH relativeFrom="margin">
              <wp:align>center</wp:align>
            </wp:positionH>
            <wp:positionV relativeFrom="paragraph">
              <wp:posOffset>0</wp:posOffset>
            </wp:positionV>
            <wp:extent cx="6285146" cy="9249410"/>
            <wp:effectExtent l="0" t="0" r="1905" b="0"/>
            <wp:wrapSquare wrapText="bothSides"/>
            <wp:docPr id="4" name="Image 4" descr="29-Finistere_diversité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Finistere_diversité_20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5146" cy="9249410"/>
                    </a:xfrm>
                    <a:prstGeom prst="rect">
                      <a:avLst/>
                    </a:prstGeom>
                    <a:noFill/>
                  </pic:spPr>
                </pic:pic>
              </a:graphicData>
            </a:graphic>
            <wp14:sizeRelH relativeFrom="page">
              <wp14:pctWidth>0</wp14:pctWidth>
            </wp14:sizeRelH>
            <wp14:sizeRelV relativeFrom="page">
              <wp14:pctHeight>0</wp14:pctHeight>
            </wp14:sizeRelV>
          </wp:anchor>
        </w:drawing>
      </w:r>
    </w:p>
    <w:p w14:paraId="1EECEA5C" w14:textId="3181102A"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lastRenderedPageBreak/>
        <w:t xml:space="preserve">Eléments de contexte de la pêcherie des Glénan </w:t>
      </w:r>
    </w:p>
    <w:bookmarkEnd w:id="0"/>
    <w:bookmarkEnd w:id="1"/>
    <w:p w14:paraId="292FCCE6"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5DA94EEA" w14:textId="01E78040"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 xml:space="preserve">La pêche des coquilles Saint-Jacques est une activité de pêche complémentaire pour les unités de pêche du Sud Finistère. Elles sont majoritairement basées dans les ports de Concarneau et de Loctudy. Cette pêche est structurante pour ces entreprises car c’est leur principale activité en fin et début d’année. </w:t>
      </w:r>
    </w:p>
    <w:p w14:paraId="54A181D0" w14:textId="1D49C87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 xml:space="preserve">Elle est importante pour ces flottilles et génère en moyenne entre 400 000 et 500 000 € par saison de chiffre </w:t>
      </w:r>
      <w:r w:rsidR="00D6099D" w:rsidRPr="00565A93">
        <w:rPr>
          <w:rFonts w:asciiTheme="majorHAnsi" w:eastAsia="Times New Roman" w:hAnsiTheme="majorHAnsi" w:cstheme="majorHAnsi"/>
          <w:kern w:val="3"/>
          <w:sz w:val="24"/>
          <w:szCs w:val="24"/>
        </w:rPr>
        <w:t>d’affaires</w:t>
      </w:r>
      <w:r w:rsidRPr="00565A93">
        <w:rPr>
          <w:rFonts w:asciiTheme="majorHAnsi" w:eastAsia="Times New Roman" w:hAnsiTheme="majorHAnsi" w:cstheme="majorHAnsi"/>
          <w:kern w:val="3"/>
          <w:sz w:val="24"/>
          <w:szCs w:val="24"/>
        </w:rPr>
        <w:t>. La saison dure généralement entre 1 et 2 mois, entre fin Novembre et Janvier.</w:t>
      </w:r>
    </w:p>
    <w:p w14:paraId="52FDDAC2"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r w:rsidRPr="00565A93">
        <w:rPr>
          <w:rFonts w:asciiTheme="majorHAnsi" w:eastAsia="Times New Roman" w:hAnsiTheme="majorHAnsi" w:cstheme="majorHAnsi"/>
          <w:kern w:val="3"/>
          <w:sz w:val="24"/>
          <w:szCs w:val="24"/>
        </w:rPr>
        <w:t>La pêche des coquilles s’est développée dans les années 1960/1970 dans la zone. En 1985, le gisement comptait 65 unités de pêche. L’effectif c’est depuis grandement érodé, avec 21 licences aujourd’hui.</w:t>
      </w:r>
      <w:r w:rsidRPr="00565A93">
        <w:rPr>
          <w:rFonts w:asciiTheme="majorHAnsi" w:eastAsia="Times New Roman" w:hAnsiTheme="majorHAnsi" w:cstheme="majorHAnsi"/>
          <w:noProof/>
          <w:kern w:val="3"/>
          <w:sz w:val="24"/>
          <w:szCs w:val="24"/>
        </w:rPr>
        <w:t xml:space="preserve"> On peut le correler avec la chute de la production du gisement sur ces mêmes années mais également avec le départ en retraites de nombreux marins pêcheurs depuis les années 1990.</w:t>
      </w:r>
    </w:p>
    <w:p w14:paraId="6FBE2847"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r w:rsidRPr="00565A93">
        <w:rPr>
          <w:rFonts w:asciiTheme="majorHAnsi" w:eastAsia="Times New Roman" w:hAnsiTheme="majorHAnsi" w:cstheme="majorHAnsi"/>
          <w:noProof/>
          <w:kern w:val="3"/>
          <w:sz w:val="24"/>
          <w:szCs w:val="24"/>
        </w:rPr>
        <mc:AlternateContent>
          <mc:Choice Requires="wps">
            <w:drawing>
              <wp:anchor distT="0" distB="0" distL="114300" distR="114300" simplePos="0" relativeHeight="251663360" behindDoc="0" locked="0" layoutInCell="1" allowOverlap="1" wp14:anchorId="6E1D5028" wp14:editId="7598FAA6">
                <wp:simplePos x="0" y="0"/>
                <wp:positionH relativeFrom="column">
                  <wp:posOffset>727075</wp:posOffset>
                </wp:positionH>
                <wp:positionV relativeFrom="paragraph">
                  <wp:posOffset>3087370</wp:posOffset>
                </wp:positionV>
                <wp:extent cx="4781550" cy="63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4781550" cy="635"/>
                        </a:xfrm>
                        <a:prstGeom prst="rect">
                          <a:avLst/>
                        </a:prstGeom>
                        <a:solidFill>
                          <a:prstClr val="white"/>
                        </a:solidFill>
                        <a:ln>
                          <a:noFill/>
                        </a:ln>
                      </wps:spPr>
                      <wps:txbx>
                        <w:txbxContent>
                          <w:p w14:paraId="132A2DBD" w14:textId="77777777" w:rsidR="004A2D90" w:rsidRPr="00CF0E8A" w:rsidRDefault="004A2D90" w:rsidP="004A2D90">
                            <w:pPr>
                              <w:pStyle w:val="Lgende"/>
                              <w:rPr>
                                <w:rFonts w:ascii="Trebuchet MS" w:hAnsi="Trebuchet MS" w:cs="Georgia"/>
                                <w:noProof/>
                                <w:sz w:val="16"/>
                                <w:szCs w:val="16"/>
                              </w:rPr>
                            </w:pPr>
                            <w:r w:rsidRPr="00CF0E8A">
                              <w:rPr>
                                <w:sz w:val="18"/>
                                <w:szCs w:val="18"/>
                              </w:rPr>
                              <w:t xml:space="preserve">Figure </w:t>
                            </w:r>
                            <w:r w:rsidRPr="00CF0E8A">
                              <w:rPr>
                                <w:sz w:val="18"/>
                                <w:szCs w:val="18"/>
                              </w:rPr>
                              <w:fldChar w:fldCharType="begin"/>
                            </w:r>
                            <w:r w:rsidRPr="00CF0E8A">
                              <w:rPr>
                                <w:sz w:val="18"/>
                                <w:szCs w:val="18"/>
                              </w:rPr>
                              <w:instrText xml:space="preserve"> SEQ Figure \* ARABIC </w:instrText>
                            </w:r>
                            <w:r w:rsidRPr="00CF0E8A">
                              <w:rPr>
                                <w:sz w:val="18"/>
                                <w:szCs w:val="18"/>
                              </w:rPr>
                              <w:fldChar w:fldCharType="separate"/>
                            </w:r>
                            <w:r>
                              <w:rPr>
                                <w:noProof/>
                                <w:sz w:val="18"/>
                                <w:szCs w:val="18"/>
                              </w:rPr>
                              <w:t>1</w:t>
                            </w:r>
                            <w:r w:rsidRPr="00CF0E8A">
                              <w:rPr>
                                <w:sz w:val="18"/>
                                <w:szCs w:val="18"/>
                              </w:rPr>
                              <w:fldChar w:fldCharType="end"/>
                            </w:r>
                            <w:r w:rsidRPr="00CF0E8A">
                              <w:rPr>
                                <w:sz w:val="18"/>
                                <w:szCs w:val="18"/>
                              </w:rPr>
                              <w:t>: Evolution du nombre de licenciés sur le gisement depuis 1985 (CDPMEM29)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E1D5028" id="_x0000_t202" coordsize="21600,21600" o:spt="202" path="m,l,21600r21600,l21600,xe">
                <v:stroke joinstyle="miter"/>
                <v:path gradientshapeok="t" o:connecttype="rect"/>
              </v:shapetype>
              <v:shape id="Zone de texte 5" o:spid="_x0000_s1026" type="#_x0000_t202" style="position:absolute;left:0;text-align:left;margin-left:57.25pt;margin-top:243.1pt;width:37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" stroked="f">
                <v:textbox style="mso-fit-shape-to-text:t" inset="0,0,0,0">
                  <w:txbxContent>
                    <w:p w14:paraId="132A2DBD" w14:textId="77777777" w:rsidR="004A2D90" w:rsidRPr="00CF0E8A" w:rsidRDefault="004A2D90" w:rsidP="004A2D90">
                      <w:pPr>
                        <w:pStyle w:val="Lgende"/>
                        <w:rPr>
                          <w:rFonts w:ascii="Trebuchet MS" w:hAnsi="Trebuchet MS" w:cs="Georgia"/>
                          <w:noProof/>
                          <w:sz w:val="16"/>
                          <w:szCs w:val="16"/>
                        </w:rPr>
                      </w:pPr>
                      <w:r w:rsidRPr="00CF0E8A">
                        <w:rPr>
                          <w:sz w:val="18"/>
                          <w:szCs w:val="18"/>
                        </w:rPr>
                        <w:t xml:space="preserve">Figure </w:t>
                      </w:r>
                      <w:r w:rsidRPr="00CF0E8A">
                        <w:rPr>
                          <w:sz w:val="18"/>
                          <w:szCs w:val="18"/>
                        </w:rPr>
                        <w:fldChar w:fldCharType="begin"/>
                      </w:r>
                      <w:r w:rsidRPr="00CF0E8A">
                        <w:rPr>
                          <w:sz w:val="18"/>
                          <w:szCs w:val="18"/>
                        </w:rPr>
                        <w:instrText xml:space="preserve"> SEQ Figure \* ARABIC </w:instrText>
                      </w:r>
                      <w:r w:rsidRPr="00CF0E8A">
                        <w:rPr>
                          <w:sz w:val="18"/>
                          <w:szCs w:val="18"/>
                        </w:rPr>
                        <w:fldChar w:fldCharType="separate"/>
                      </w:r>
                      <w:r>
                        <w:rPr>
                          <w:noProof/>
                          <w:sz w:val="18"/>
                          <w:szCs w:val="18"/>
                        </w:rPr>
                        <w:t>1</w:t>
                      </w:r>
                      <w:r w:rsidRPr="00CF0E8A">
                        <w:rPr>
                          <w:sz w:val="18"/>
                          <w:szCs w:val="18"/>
                        </w:rPr>
                        <w:fldChar w:fldCharType="end"/>
                      </w:r>
                      <w:r w:rsidRPr="00CF0E8A">
                        <w:rPr>
                          <w:sz w:val="18"/>
                          <w:szCs w:val="18"/>
                        </w:rPr>
                        <w:t>: Evolution du nombre de licenciés sur le gisement depuis 1985 (CDPMEM29)</w:t>
                      </w:r>
                    </w:p>
                  </w:txbxContent>
                </v:textbox>
                <w10:wrap type="square"/>
              </v:shape>
            </w:pict>
          </mc:Fallback>
        </mc:AlternateContent>
      </w:r>
      <w:r w:rsidRPr="00565A93">
        <w:rPr>
          <w:rFonts w:asciiTheme="majorHAnsi" w:eastAsia="Times New Roman" w:hAnsiTheme="majorHAnsi" w:cstheme="majorHAnsi"/>
          <w:noProof/>
          <w:kern w:val="3"/>
          <w:sz w:val="24"/>
          <w:szCs w:val="24"/>
        </w:rPr>
        <w:drawing>
          <wp:anchor distT="0" distB="0" distL="114300" distR="114300" simplePos="0" relativeHeight="251661312" behindDoc="0" locked="0" layoutInCell="1" allowOverlap="1" wp14:anchorId="08D4B6B5" wp14:editId="6371EFBB">
            <wp:simplePos x="0" y="0"/>
            <wp:positionH relativeFrom="column">
              <wp:posOffset>727075</wp:posOffset>
            </wp:positionH>
            <wp:positionV relativeFrom="paragraph">
              <wp:posOffset>134620</wp:posOffset>
            </wp:positionV>
            <wp:extent cx="4781550" cy="2895600"/>
            <wp:effectExtent l="0" t="0" r="0" b="0"/>
            <wp:wrapSquare wrapText="bothSides"/>
            <wp:docPr id="6" name="Graphique 6">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6D1C29E5"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6C802B01"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0BFEA619"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4336D3BD"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2965DE84"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44163429"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22DBEA4E"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69B86AE8"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62EA2570"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211C1050"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7C24C2BB" w14:textId="77777777" w:rsidR="00AA0659" w:rsidRDefault="00AA0659" w:rsidP="00565A93">
      <w:pPr>
        <w:autoSpaceDN w:val="0"/>
        <w:spacing w:before="60"/>
        <w:jc w:val="both"/>
        <w:rPr>
          <w:rFonts w:asciiTheme="majorHAnsi" w:eastAsia="Times New Roman" w:hAnsiTheme="majorHAnsi" w:cstheme="majorHAnsi"/>
          <w:noProof/>
          <w:kern w:val="3"/>
          <w:sz w:val="24"/>
          <w:szCs w:val="24"/>
        </w:rPr>
      </w:pPr>
    </w:p>
    <w:p w14:paraId="4CAA913F" w14:textId="231873F2"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r w:rsidRPr="00565A93">
        <w:rPr>
          <w:rFonts w:asciiTheme="majorHAnsi" w:eastAsia="Times New Roman" w:hAnsiTheme="majorHAnsi" w:cstheme="majorHAnsi"/>
          <w:noProof/>
          <w:kern w:val="3"/>
          <w:sz w:val="24"/>
          <w:szCs w:val="24"/>
        </w:rPr>
        <w:t>Les navires qui composent cette flotte sont contraints de respecter certaines normes définies par la délibération du CRPMEM Bretagne en taille de navire et en puissance.</w:t>
      </w:r>
    </w:p>
    <w:p w14:paraId="10E598D9" w14:textId="2FC51A74"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noProof/>
          <w:kern w:val="3"/>
          <w:sz w:val="24"/>
          <w:szCs w:val="24"/>
        </w:rPr>
        <w:t>Pour le gisment de Concarneau, les navires ne peuvent pas faire plus de 12 m de longueur Hors Tout  et 200 kw de puissance maximale. Le navire type de ce gisement fait 10,8 m HT pour 133 kW.</w:t>
      </w:r>
    </w:p>
    <w:p w14:paraId="5D9A60A5" w14:textId="77355B2E"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 xml:space="preserve">Cette flottille du Sud Finistère est particulière car elle fonctionne majoritairement sur la pêche de deux espèces : la langoustine et la coquille. Elle est composée exclusivement de chalutiers </w:t>
      </w:r>
      <w:r w:rsidRPr="00565A93">
        <w:rPr>
          <w:rFonts w:asciiTheme="majorHAnsi" w:eastAsia="Times New Roman" w:hAnsiTheme="majorHAnsi" w:cstheme="majorHAnsi"/>
          <w:kern w:val="3"/>
          <w:sz w:val="24"/>
          <w:szCs w:val="24"/>
        </w:rPr>
        <w:lastRenderedPageBreak/>
        <w:t>polyvalents (pas d’espèces particulièrement ciblées) qui exploitent les langoustines à la belle saison et la coquilles l’hiver (même si certains font également du chalut en période hivernal).</w:t>
      </w:r>
    </w:p>
    <w:p w14:paraId="27AF182B" w14:textId="782E0E9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Le métier de la drague leur permet de rester proche de la côte à l’abri. Contrairement aux autres gisements, les navires de la zone comptent un équipage plus nombreux (environ 2 à 3 hommes par navire). Hors saison de coquilles, cette flottille travaille au large, à plus de trois miles des côtes. Elle fréquente majoritairement les zones de la grande vasière (zone comprise entre 5 et 12 miles de la côte dans le Sud Bretagne).</w:t>
      </w:r>
    </w:p>
    <w:p w14:paraId="033EF095"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r w:rsidRPr="00565A93">
        <w:rPr>
          <w:rFonts w:asciiTheme="majorHAnsi" w:eastAsia="Times New Roman" w:hAnsiTheme="majorHAnsi" w:cstheme="majorHAnsi"/>
          <w:kern w:val="3"/>
          <w:sz w:val="24"/>
          <w:szCs w:val="24"/>
        </w:rPr>
        <w:t>La production du gisement est en dents de scie depuis les années 1980. Cela peut laisser penser à une exploitation trop forte ou à des cycles dans la reproduction. Aujourd’hui, les pêcheurs du gisement sont confrontés à des problèmes de phytoplanctons toxiques qui empêche la pêche certaines années.</w:t>
      </w:r>
      <w:r w:rsidRPr="00565A93">
        <w:rPr>
          <w:rFonts w:asciiTheme="majorHAnsi" w:eastAsia="Times New Roman" w:hAnsiTheme="majorHAnsi" w:cstheme="majorHAnsi"/>
          <w:noProof/>
          <w:kern w:val="3"/>
          <w:sz w:val="24"/>
          <w:szCs w:val="24"/>
        </w:rPr>
        <w:t xml:space="preserve"> </w:t>
      </w:r>
    </w:p>
    <w:p w14:paraId="20A03822"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r w:rsidRPr="00565A93">
        <w:rPr>
          <w:rFonts w:asciiTheme="majorHAnsi" w:eastAsia="Times New Roman" w:hAnsiTheme="majorHAnsi" w:cstheme="majorHAnsi"/>
          <w:noProof/>
          <w:kern w:val="3"/>
          <w:sz w:val="24"/>
          <w:szCs w:val="24"/>
        </w:rPr>
        <w:t>En effet,comme en rade de Brest, des bloom de pseudo-nitzchia ont été détectés. Cette microalgue produit une toxine, l’ASP (Amnesic Shellfish Poison), rendant impropre à la consommation les coquillages.</w:t>
      </w:r>
    </w:p>
    <w:p w14:paraId="3D962614" w14:textId="77777777" w:rsidR="004A2D90" w:rsidRPr="00565A93" w:rsidRDefault="004A2D90" w:rsidP="00565A93">
      <w:pPr>
        <w:autoSpaceDN w:val="0"/>
        <w:spacing w:before="60"/>
        <w:jc w:val="both"/>
        <w:rPr>
          <w:rFonts w:asciiTheme="majorHAnsi" w:eastAsia="Times New Roman" w:hAnsiTheme="majorHAnsi" w:cstheme="majorHAnsi"/>
          <w:noProof/>
          <w:kern w:val="3"/>
          <w:sz w:val="24"/>
          <w:szCs w:val="24"/>
        </w:rPr>
      </w:pPr>
    </w:p>
    <w:p w14:paraId="443FA0D0"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noProof/>
          <w:kern w:val="3"/>
          <w:sz w:val="24"/>
          <w:szCs w:val="24"/>
        </w:rPr>
        <w:t>Cela a grandement affecté le gisment, surtout entre 2011 et 2013, ou la pêche fut arrêtée. Après une remontée de la production elle est de nouveau en baisse pour atteindre 70 tonnes pour la saison 2018/2019.</w:t>
      </w:r>
    </w:p>
    <w:p w14:paraId="58091358"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6F37F141"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noProof/>
          <w:kern w:val="3"/>
          <w:sz w:val="24"/>
          <w:szCs w:val="24"/>
        </w:rPr>
        <w:drawing>
          <wp:anchor distT="0" distB="0" distL="114300" distR="114300" simplePos="0" relativeHeight="251662336" behindDoc="1" locked="0" layoutInCell="1" allowOverlap="1" wp14:anchorId="2506B8B2" wp14:editId="0DE83D63">
            <wp:simplePos x="0" y="0"/>
            <wp:positionH relativeFrom="column">
              <wp:posOffset>774700</wp:posOffset>
            </wp:positionH>
            <wp:positionV relativeFrom="paragraph">
              <wp:posOffset>45085</wp:posOffset>
            </wp:positionV>
            <wp:extent cx="4600575" cy="2790825"/>
            <wp:effectExtent l="0" t="0" r="9525" b="9525"/>
            <wp:wrapTight wrapText="bothSides">
              <wp:wrapPolygon edited="0">
                <wp:start x="0" y="0"/>
                <wp:lineTo x="0" y="21526"/>
                <wp:lineTo x="21555" y="21526"/>
                <wp:lineTo x="21555" y="0"/>
                <wp:lineTo x="0" y="0"/>
              </wp:wrapPolygon>
            </wp:wrapTight>
            <wp:docPr id="7" name="Graphique 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02F4618"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40A0EDBF"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78CD88DB"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00083CEA"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57157A27"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6DFC1D42"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7BFB5473"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73E3BA22"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02689C06"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0236346D"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50BA1191"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0DECBE54" w14:textId="1C41DECB" w:rsidR="004A2D90"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noProof/>
          <w:kern w:val="3"/>
          <w:sz w:val="24"/>
          <w:szCs w:val="24"/>
        </w:rPr>
        <mc:AlternateContent>
          <mc:Choice Requires="wps">
            <w:drawing>
              <wp:anchor distT="0" distB="0" distL="114300" distR="114300" simplePos="0" relativeHeight="251664384" behindDoc="1" locked="0" layoutInCell="1" allowOverlap="1" wp14:anchorId="2187C5B3" wp14:editId="70B8297C">
                <wp:simplePos x="0" y="0"/>
                <wp:positionH relativeFrom="column">
                  <wp:posOffset>831850</wp:posOffset>
                </wp:positionH>
                <wp:positionV relativeFrom="paragraph">
                  <wp:posOffset>1905</wp:posOffset>
                </wp:positionV>
                <wp:extent cx="4600575" cy="199390"/>
                <wp:effectExtent l="0" t="0" r="9525" b="0"/>
                <wp:wrapTight wrapText="bothSides">
                  <wp:wrapPolygon edited="0">
                    <wp:start x="0" y="0"/>
                    <wp:lineTo x="0" y="18573"/>
                    <wp:lineTo x="21555" y="18573"/>
                    <wp:lineTo x="21555" y="0"/>
                    <wp:lineTo x="0" y="0"/>
                  </wp:wrapPolygon>
                </wp:wrapTight>
                <wp:docPr id="11" name="Zone de texte 11"/>
                <wp:cNvGraphicFramePr/>
                <a:graphic xmlns:a="http://schemas.openxmlformats.org/drawingml/2006/main">
                  <a:graphicData uri="http://schemas.microsoft.com/office/word/2010/wordprocessingShape">
                    <wps:wsp>
                      <wps:cNvSpPr txBox="1"/>
                      <wps:spPr>
                        <a:xfrm>
                          <a:off x="0" y="0"/>
                          <a:ext cx="4600575" cy="199390"/>
                        </a:xfrm>
                        <a:prstGeom prst="rect">
                          <a:avLst/>
                        </a:prstGeom>
                        <a:solidFill>
                          <a:prstClr val="white"/>
                        </a:solidFill>
                        <a:ln>
                          <a:noFill/>
                        </a:ln>
                      </wps:spPr>
                      <wps:txbx>
                        <w:txbxContent>
                          <w:p w14:paraId="53F3FF36" w14:textId="77777777" w:rsidR="004A2D90" w:rsidRPr="00CF0E8A" w:rsidRDefault="004A2D90" w:rsidP="004A2D90">
                            <w:pPr>
                              <w:pStyle w:val="Lgende"/>
                              <w:rPr>
                                <w:rFonts w:ascii="Trebuchet MS" w:hAnsi="Trebuchet MS" w:cs="Georgia"/>
                                <w:noProof/>
                                <w:sz w:val="16"/>
                                <w:szCs w:val="16"/>
                              </w:rPr>
                            </w:pPr>
                            <w:r w:rsidRPr="00CF0E8A">
                              <w:rPr>
                                <w:sz w:val="18"/>
                                <w:szCs w:val="18"/>
                              </w:rPr>
                              <w:t xml:space="preserve">Figure </w:t>
                            </w:r>
                            <w:r w:rsidRPr="00CF0E8A">
                              <w:rPr>
                                <w:sz w:val="18"/>
                                <w:szCs w:val="18"/>
                              </w:rPr>
                              <w:fldChar w:fldCharType="begin"/>
                            </w:r>
                            <w:r w:rsidRPr="00CF0E8A">
                              <w:rPr>
                                <w:sz w:val="18"/>
                                <w:szCs w:val="18"/>
                              </w:rPr>
                              <w:instrText xml:space="preserve"> SEQ Figure \* ARABIC </w:instrText>
                            </w:r>
                            <w:r w:rsidRPr="00CF0E8A">
                              <w:rPr>
                                <w:sz w:val="18"/>
                                <w:szCs w:val="18"/>
                              </w:rPr>
                              <w:fldChar w:fldCharType="separate"/>
                            </w:r>
                            <w:r>
                              <w:rPr>
                                <w:noProof/>
                                <w:sz w:val="18"/>
                                <w:szCs w:val="18"/>
                              </w:rPr>
                              <w:t>2</w:t>
                            </w:r>
                            <w:r w:rsidRPr="00CF0E8A">
                              <w:rPr>
                                <w:sz w:val="18"/>
                                <w:szCs w:val="18"/>
                              </w:rPr>
                              <w:fldChar w:fldCharType="end"/>
                            </w:r>
                            <w:r w:rsidRPr="00CF0E8A">
                              <w:rPr>
                                <w:sz w:val="18"/>
                                <w:szCs w:val="18"/>
                              </w:rPr>
                              <w:t>: Evolution des débarquements de coquilles sur le gisement depuis 2009 (CDPMEM29)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7C5B3" id="Zone de texte 11" o:spid="_x0000_s1027" type="#_x0000_t202" style="position:absolute;left:0;text-align:left;margin-left:65.5pt;margin-top:.15pt;width:362.25pt;height:15.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" stroked="f">
                <v:textbox inset="0,0,0,0">
                  <w:txbxContent>
                    <w:p w14:paraId="53F3FF36" w14:textId="77777777" w:rsidR="004A2D90" w:rsidRPr="00CF0E8A" w:rsidRDefault="004A2D90" w:rsidP="004A2D90">
                      <w:pPr>
                        <w:pStyle w:val="Lgende"/>
                        <w:rPr>
                          <w:rFonts w:ascii="Trebuchet MS" w:hAnsi="Trebuchet MS" w:cs="Georgia"/>
                          <w:noProof/>
                          <w:sz w:val="16"/>
                          <w:szCs w:val="16"/>
                        </w:rPr>
                      </w:pPr>
                      <w:r w:rsidRPr="00CF0E8A">
                        <w:rPr>
                          <w:sz w:val="18"/>
                          <w:szCs w:val="18"/>
                        </w:rPr>
                        <w:t xml:space="preserve">Figure </w:t>
                      </w:r>
                      <w:r w:rsidRPr="00CF0E8A">
                        <w:rPr>
                          <w:sz w:val="18"/>
                          <w:szCs w:val="18"/>
                        </w:rPr>
                        <w:fldChar w:fldCharType="begin"/>
                      </w:r>
                      <w:r w:rsidRPr="00CF0E8A">
                        <w:rPr>
                          <w:sz w:val="18"/>
                          <w:szCs w:val="18"/>
                        </w:rPr>
                        <w:instrText xml:space="preserve"> SEQ Figure \* ARABIC </w:instrText>
                      </w:r>
                      <w:r w:rsidRPr="00CF0E8A">
                        <w:rPr>
                          <w:sz w:val="18"/>
                          <w:szCs w:val="18"/>
                        </w:rPr>
                        <w:fldChar w:fldCharType="separate"/>
                      </w:r>
                      <w:r>
                        <w:rPr>
                          <w:noProof/>
                          <w:sz w:val="18"/>
                          <w:szCs w:val="18"/>
                        </w:rPr>
                        <w:t>2</w:t>
                      </w:r>
                      <w:r w:rsidRPr="00CF0E8A">
                        <w:rPr>
                          <w:sz w:val="18"/>
                          <w:szCs w:val="18"/>
                        </w:rPr>
                        <w:fldChar w:fldCharType="end"/>
                      </w:r>
                      <w:r w:rsidRPr="00CF0E8A">
                        <w:rPr>
                          <w:sz w:val="18"/>
                          <w:szCs w:val="18"/>
                        </w:rPr>
                        <w:t>: Evolution des débarquements de coquilles sur le gisement depuis 2009 (CDPMEM29)</w:t>
                      </w:r>
                    </w:p>
                  </w:txbxContent>
                </v:textbox>
                <w10:wrap type="tight"/>
              </v:shape>
            </w:pict>
          </mc:Fallback>
        </mc:AlternateContent>
      </w:r>
    </w:p>
    <w:p w14:paraId="748A124F" w14:textId="77777777" w:rsidR="00565A93" w:rsidRDefault="00565A93" w:rsidP="00565A93">
      <w:pPr>
        <w:autoSpaceDN w:val="0"/>
        <w:spacing w:before="60"/>
        <w:jc w:val="both"/>
        <w:rPr>
          <w:rFonts w:asciiTheme="majorHAnsi" w:eastAsia="Times New Roman" w:hAnsiTheme="majorHAnsi" w:cstheme="majorHAnsi"/>
          <w:kern w:val="3"/>
          <w:sz w:val="24"/>
          <w:szCs w:val="24"/>
        </w:rPr>
      </w:pPr>
    </w:p>
    <w:p w14:paraId="7B923B87" w14:textId="77777777" w:rsidR="00565A93" w:rsidRPr="00565A93" w:rsidRDefault="00565A93" w:rsidP="00565A93">
      <w:pPr>
        <w:autoSpaceDN w:val="0"/>
        <w:spacing w:before="60"/>
        <w:jc w:val="both"/>
        <w:rPr>
          <w:rFonts w:asciiTheme="majorHAnsi" w:eastAsia="Times New Roman" w:hAnsiTheme="majorHAnsi" w:cstheme="majorHAnsi"/>
          <w:kern w:val="3"/>
          <w:sz w:val="24"/>
          <w:szCs w:val="24"/>
        </w:rPr>
      </w:pPr>
    </w:p>
    <w:p w14:paraId="4E4E5A42"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 xml:space="preserve">La coquille Saint-Jacques des Glénan est surtout consommée sur un marché local, entre Loctudy et </w:t>
      </w:r>
      <w:proofErr w:type="spellStart"/>
      <w:r w:rsidRPr="00565A93">
        <w:rPr>
          <w:rFonts w:asciiTheme="majorHAnsi" w:eastAsia="Times New Roman" w:hAnsiTheme="majorHAnsi" w:cstheme="majorHAnsi"/>
          <w:kern w:val="3"/>
          <w:sz w:val="24"/>
          <w:szCs w:val="24"/>
        </w:rPr>
        <w:t>Trévignon</w:t>
      </w:r>
      <w:proofErr w:type="spellEnd"/>
      <w:r w:rsidRPr="00565A93">
        <w:rPr>
          <w:rFonts w:asciiTheme="majorHAnsi" w:eastAsia="Times New Roman" w:hAnsiTheme="majorHAnsi" w:cstheme="majorHAnsi"/>
          <w:kern w:val="3"/>
          <w:sz w:val="24"/>
          <w:szCs w:val="24"/>
        </w:rPr>
        <w:t>. Son prix est sensiblement le même sur chaque saison, variant en moyenne entre 4 € et 3,50 € au kilo (prix criée). Elle est majoritairement vendue en criée, mais certaines unités de pêche font aussi un peu de vente directe (</w:t>
      </w:r>
      <w:proofErr w:type="spellStart"/>
      <w:r w:rsidRPr="00565A93">
        <w:rPr>
          <w:rFonts w:asciiTheme="majorHAnsi" w:eastAsia="Times New Roman" w:hAnsiTheme="majorHAnsi" w:cstheme="majorHAnsi"/>
          <w:kern w:val="3"/>
          <w:sz w:val="24"/>
          <w:szCs w:val="24"/>
        </w:rPr>
        <w:t>Trévignon</w:t>
      </w:r>
      <w:proofErr w:type="spellEnd"/>
      <w:r w:rsidRPr="00565A93">
        <w:rPr>
          <w:rFonts w:asciiTheme="majorHAnsi" w:eastAsia="Times New Roman" w:hAnsiTheme="majorHAnsi" w:cstheme="majorHAnsi"/>
          <w:kern w:val="3"/>
          <w:sz w:val="24"/>
          <w:szCs w:val="24"/>
        </w:rPr>
        <w:t xml:space="preserve"> notamment).</w:t>
      </w:r>
    </w:p>
    <w:p w14:paraId="4A908C53"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Pendant longtemps, le gisement a connu des campagnes de surveillance du stock exploité réalisé par l’IFREMER et l’ancien Comité Local des Pêches de Concarneau. Mais depuis la fin des années 2000, la zone n’a plus connu de prospection.</w:t>
      </w:r>
    </w:p>
    <w:p w14:paraId="26642758"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6B46109D"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Comme d’autres gisements du département, celui de Concarneau-Les Glénan connait des semis de jeunes coquilles sur ses fonds, dans le but de pérenniser le stock. Cependant, l’impact des semis sur le stock est aujourd’hui grandement méconnu.</w:t>
      </w:r>
    </w:p>
    <w:p w14:paraId="79F85955"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p>
    <w:p w14:paraId="47880D49" w14:textId="77777777" w:rsidR="004A2D90" w:rsidRPr="00565A93" w:rsidRDefault="004A2D90" w:rsidP="00565A93">
      <w:pPr>
        <w:autoSpaceDN w:val="0"/>
        <w:spacing w:before="60"/>
        <w:jc w:val="both"/>
        <w:rPr>
          <w:rFonts w:asciiTheme="majorHAnsi" w:eastAsia="Times New Roman" w:hAnsiTheme="majorHAnsi" w:cstheme="majorHAnsi"/>
          <w:kern w:val="3"/>
          <w:sz w:val="24"/>
          <w:szCs w:val="24"/>
        </w:rPr>
      </w:pPr>
      <w:r w:rsidRPr="00565A93">
        <w:rPr>
          <w:rFonts w:asciiTheme="majorHAnsi" w:eastAsia="Times New Roman" w:hAnsiTheme="majorHAnsi" w:cstheme="majorHAnsi"/>
          <w:kern w:val="3"/>
          <w:sz w:val="24"/>
          <w:szCs w:val="24"/>
        </w:rPr>
        <w:t>Il est donc important aujourd’hui pour les pêcheurs et le Comité de connaitre l’état du stock au fond afin de permettre une meilleure gestion de la ressource, pour la sauvegarde et la pérennisation de la flottille coquillière des ports de Concarneau et Loctudy.</w:t>
      </w:r>
    </w:p>
    <w:p w14:paraId="497289A7" w14:textId="77777777" w:rsidR="004A2D90" w:rsidRPr="00565A93" w:rsidRDefault="004A2D90" w:rsidP="00565A93">
      <w:pPr>
        <w:pStyle w:val="TexteBloc"/>
        <w:spacing w:before="60" w:line="240" w:lineRule="auto"/>
        <w:rPr>
          <w:rFonts w:asciiTheme="majorHAnsi" w:hAnsiTheme="majorHAnsi" w:cstheme="majorHAnsi"/>
          <w:sz w:val="24"/>
          <w:szCs w:val="24"/>
        </w:rPr>
      </w:pPr>
    </w:p>
    <w:p w14:paraId="4A17A73B" w14:textId="77777777" w:rsidR="004A2D90" w:rsidRPr="00565A93" w:rsidRDefault="004A2D90" w:rsidP="00565A93">
      <w:pPr>
        <w:pStyle w:val="Titre3"/>
        <w:keepLines w:val="0"/>
        <w:widowControl w:val="0"/>
        <w:numPr>
          <w:ilvl w:val="0"/>
          <w:numId w:val="1"/>
        </w:numPr>
        <w:pBdr>
          <w:bottom w:val="single" w:sz="4" w:space="1" w:color="000001"/>
        </w:pBdr>
        <w:spacing w:before="60" w:line="240" w:lineRule="auto"/>
        <w:ind w:right="851"/>
        <w:jc w:val="both"/>
        <w:rPr>
          <w:rFonts w:cstheme="majorHAnsi"/>
        </w:rPr>
      </w:pPr>
      <w:r w:rsidRPr="00565A93">
        <w:rPr>
          <w:rFonts w:cstheme="majorHAnsi"/>
        </w:rPr>
        <w:t>Objectifs du projet – Améliorations attendues du service rendu</w:t>
      </w:r>
    </w:p>
    <w:p w14:paraId="08775AED" w14:textId="77777777" w:rsidR="004A2D90" w:rsidRPr="00565A93" w:rsidRDefault="004A2D90" w:rsidP="00565A93">
      <w:pPr>
        <w:pStyle w:val="TexteBloc"/>
        <w:spacing w:before="60" w:line="240" w:lineRule="auto"/>
        <w:rPr>
          <w:rFonts w:asciiTheme="majorHAnsi" w:hAnsiTheme="majorHAnsi" w:cstheme="majorHAnsi"/>
          <w:sz w:val="24"/>
          <w:szCs w:val="24"/>
        </w:rPr>
      </w:pPr>
    </w:p>
    <w:p w14:paraId="5AED1551" w14:textId="77777777" w:rsidR="004A2D90" w:rsidRPr="00565A93" w:rsidRDefault="004A2D90" w:rsidP="00565A93">
      <w:pPr>
        <w:widowControl w:val="0"/>
        <w:numPr>
          <w:ilvl w:val="0"/>
          <w:numId w:val="2"/>
        </w:numPr>
        <w:autoSpaceDN w:val="0"/>
        <w:spacing w:after="200" w:line="276" w:lineRule="auto"/>
        <w:contextualSpacing/>
        <w:jc w:val="both"/>
        <w:rPr>
          <w:rFonts w:asciiTheme="majorHAnsi" w:hAnsiTheme="majorHAnsi" w:cstheme="majorHAnsi"/>
          <w:sz w:val="24"/>
          <w:szCs w:val="24"/>
        </w:rPr>
      </w:pPr>
      <w:r w:rsidRPr="00565A93">
        <w:rPr>
          <w:rFonts w:asciiTheme="majorHAnsi" w:hAnsiTheme="majorHAnsi" w:cstheme="majorHAnsi"/>
          <w:sz w:val="24"/>
          <w:szCs w:val="24"/>
        </w:rPr>
        <w:t>Déterminer les biomasses en présence dans les gisements en distinguant la part exploitable et la biomasse totale. Cet objectif doit permettre au gestionnaire de connaître l’état des stocks et permettre d’ajuster la pêche pour la saison suivant les premières manipulations.</w:t>
      </w:r>
    </w:p>
    <w:p w14:paraId="5457A934" w14:textId="77777777" w:rsidR="004A2D90" w:rsidRPr="00565A93" w:rsidRDefault="004A2D90" w:rsidP="00565A93">
      <w:pPr>
        <w:spacing w:after="200" w:line="276" w:lineRule="auto"/>
        <w:ind w:left="720"/>
        <w:contextualSpacing/>
        <w:jc w:val="both"/>
        <w:rPr>
          <w:rFonts w:asciiTheme="majorHAnsi" w:hAnsiTheme="majorHAnsi" w:cstheme="majorHAnsi"/>
          <w:sz w:val="24"/>
          <w:szCs w:val="24"/>
        </w:rPr>
      </w:pPr>
    </w:p>
    <w:p w14:paraId="4203157E" w14:textId="77777777" w:rsidR="004A2D90" w:rsidRPr="00565A93" w:rsidRDefault="004A2D90" w:rsidP="00565A93">
      <w:pPr>
        <w:widowControl w:val="0"/>
        <w:numPr>
          <w:ilvl w:val="0"/>
          <w:numId w:val="2"/>
        </w:numPr>
        <w:autoSpaceDN w:val="0"/>
        <w:spacing w:after="200" w:line="276" w:lineRule="auto"/>
        <w:contextualSpacing/>
        <w:jc w:val="both"/>
        <w:rPr>
          <w:rFonts w:asciiTheme="majorHAnsi" w:hAnsiTheme="majorHAnsi" w:cstheme="majorHAnsi"/>
          <w:sz w:val="24"/>
          <w:szCs w:val="24"/>
        </w:rPr>
      </w:pPr>
      <w:r w:rsidRPr="00565A93">
        <w:rPr>
          <w:rFonts w:asciiTheme="majorHAnsi" w:hAnsiTheme="majorHAnsi" w:cstheme="majorHAnsi"/>
          <w:sz w:val="24"/>
          <w:szCs w:val="24"/>
        </w:rPr>
        <w:t>Déterminer la densité des stocks et leurs répartitions spatiales au sein des gisements. Cet objectif doit permettre d’ajuster au mieux la pression de pêche en favorisant l’activité sur certains secteurs plutôt que d’autres qui sont moins productifs ou plus fragile.</w:t>
      </w:r>
    </w:p>
    <w:p w14:paraId="0B5C684E" w14:textId="77777777" w:rsidR="004A2D90" w:rsidRPr="00565A93" w:rsidRDefault="004A2D90" w:rsidP="00565A93">
      <w:pPr>
        <w:spacing w:after="200" w:line="276" w:lineRule="auto"/>
        <w:ind w:left="720"/>
        <w:contextualSpacing/>
        <w:jc w:val="both"/>
        <w:rPr>
          <w:rFonts w:asciiTheme="majorHAnsi" w:hAnsiTheme="majorHAnsi" w:cstheme="majorHAnsi"/>
          <w:sz w:val="24"/>
          <w:szCs w:val="24"/>
        </w:rPr>
      </w:pPr>
    </w:p>
    <w:p w14:paraId="731A3088" w14:textId="77777777" w:rsidR="004A2D90" w:rsidRPr="00565A93" w:rsidRDefault="004A2D90" w:rsidP="00565A93">
      <w:pPr>
        <w:widowControl w:val="0"/>
        <w:numPr>
          <w:ilvl w:val="0"/>
          <w:numId w:val="2"/>
        </w:numPr>
        <w:autoSpaceDN w:val="0"/>
        <w:spacing w:after="200" w:line="276" w:lineRule="auto"/>
        <w:contextualSpacing/>
        <w:jc w:val="both"/>
        <w:rPr>
          <w:rFonts w:asciiTheme="majorHAnsi" w:hAnsiTheme="majorHAnsi" w:cstheme="majorHAnsi"/>
          <w:sz w:val="24"/>
          <w:szCs w:val="24"/>
        </w:rPr>
      </w:pPr>
      <w:r w:rsidRPr="00565A93">
        <w:rPr>
          <w:rFonts w:asciiTheme="majorHAnsi" w:hAnsiTheme="majorHAnsi" w:cstheme="majorHAnsi"/>
          <w:sz w:val="24"/>
          <w:szCs w:val="24"/>
        </w:rPr>
        <w:t>Apporter de la visibilité et de la stabilité aux entreprises de pêche du secteur afin de le pérenniser.</w:t>
      </w:r>
    </w:p>
    <w:p w14:paraId="4EC4B416" w14:textId="77777777" w:rsidR="004A2D90" w:rsidRPr="00565A93" w:rsidRDefault="004A2D90" w:rsidP="00565A93">
      <w:pPr>
        <w:pStyle w:val="TexteBloc"/>
        <w:spacing w:before="60" w:line="240" w:lineRule="auto"/>
        <w:rPr>
          <w:rFonts w:asciiTheme="majorHAnsi" w:hAnsiTheme="majorHAnsi" w:cstheme="majorHAnsi"/>
          <w:sz w:val="24"/>
          <w:szCs w:val="24"/>
        </w:rPr>
      </w:pPr>
    </w:p>
    <w:p w14:paraId="6B3D925F" w14:textId="77777777" w:rsidR="004A2D90" w:rsidRPr="00565A93" w:rsidRDefault="004A2D90" w:rsidP="00565A93">
      <w:pPr>
        <w:pStyle w:val="Titre3"/>
        <w:keepLines w:val="0"/>
        <w:widowControl w:val="0"/>
        <w:numPr>
          <w:ilvl w:val="0"/>
          <w:numId w:val="1"/>
        </w:numPr>
        <w:pBdr>
          <w:bottom w:val="single" w:sz="4" w:space="1" w:color="000001"/>
        </w:pBdr>
        <w:spacing w:before="60" w:line="240" w:lineRule="auto"/>
        <w:ind w:right="851"/>
        <w:jc w:val="both"/>
        <w:rPr>
          <w:rFonts w:cstheme="majorHAnsi"/>
        </w:rPr>
      </w:pPr>
      <w:r w:rsidRPr="00565A93">
        <w:rPr>
          <w:rFonts w:cstheme="majorHAnsi"/>
        </w:rPr>
        <w:t>Présentation résumée du projet : détailler votre projet en lien notamment avec les postes de dépenses présentées ci-après (partie « présentation financière »)</w:t>
      </w:r>
    </w:p>
    <w:p w14:paraId="3425334F" w14:textId="77777777" w:rsidR="004A2D90" w:rsidRPr="00565A93" w:rsidRDefault="004A2D90" w:rsidP="00565A93">
      <w:pPr>
        <w:pStyle w:val="Textecourant"/>
        <w:spacing w:before="60" w:after="0" w:line="240" w:lineRule="auto"/>
        <w:rPr>
          <w:rFonts w:asciiTheme="majorHAnsi" w:hAnsiTheme="majorHAnsi" w:cstheme="majorHAnsi"/>
          <w:sz w:val="24"/>
          <w:szCs w:val="24"/>
        </w:rPr>
      </w:pPr>
    </w:p>
    <w:p w14:paraId="122E2DA7" w14:textId="77777777" w:rsidR="004A2D90" w:rsidRDefault="004A2D90" w:rsidP="00565A93">
      <w:pPr>
        <w:widowControl w:val="0"/>
        <w:autoSpaceDN w:val="0"/>
        <w:jc w:val="both"/>
        <w:rPr>
          <w:rFonts w:asciiTheme="majorHAnsi" w:hAnsiTheme="majorHAnsi" w:cstheme="majorHAnsi"/>
          <w:color w:val="000000" w:themeColor="text1"/>
          <w:kern w:val="3"/>
          <w:sz w:val="24"/>
          <w:szCs w:val="24"/>
        </w:rPr>
      </w:pPr>
      <w:bookmarkStart w:id="4" w:name="_Hlk527118087"/>
      <w:r w:rsidRPr="00565A93">
        <w:rPr>
          <w:rFonts w:asciiTheme="majorHAnsi" w:hAnsiTheme="majorHAnsi" w:cstheme="majorHAnsi"/>
          <w:color w:val="000000" w:themeColor="text1"/>
          <w:kern w:val="3"/>
          <w:sz w:val="24"/>
          <w:szCs w:val="24"/>
        </w:rPr>
        <w:t>Le projet a pour but d’amener une visibilité aux pêcheurs et aux gestionnaires pour une meilleure gestion et compréhension du gisements de coquilles Saint-Jacques de Concarneau- Les Glénan.</w:t>
      </w:r>
    </w:p>
    <w:p w14:paraId="62BD81EA" w14:textId="77777777" w:rsidR="00565A93" w:rsidRPr="00565A93" w:rsidRDefault="00565A93" w:rsidP="00565A93">
      <w:pPr>
        <w:widowControl w:val="0"/>
        <w:autoSpaceDN w:val="0"/>
        <w:jc w:val="both"/>
        <w:rPr>
          <w:rFonts w:asciiTheme="majorHAnsi" w:hAnsiTheme="majorHAnsi" w:cstheme="majorHAnsi"/>
          <w:color w:val="FF0000"/>
          <w:kern w:val="3"/>
          <w:sz w:val="24"/>
          <w:szCs w:val="24"/>
        </w:rPr>
      </w:pPr>
    </w:p>
    <w:p w14:paraId="00C670A9" w14:textId="77777777" w:rsidR="004A2D90" w:rsidRPr="00565A93" w:rsidRDefault="004A2D90" w:rsidP="00565A93">
      <w:pPr>
        <w:widowControl w:val="0"/>
        <w:autoSpaceDN w:val="0"/>
        <w:jc w:val="both"/>
        <w:rPr>
          <w:rFonts w:asciiTheme="majorHAnsi" w:hAnsiTheme="majorHAnsi" w:cstheme="majorHAnsi"/>
          <w:kern w:val="3"/>
          <w:sz w:val="24"/>
          <w:szCs w:val="24"/>
        </w:rPr>
      </w:pPr>
      <w:r w:rsidRPr="00565A93">
        <w:rPr>
          <w:rFonts w:asciiTheme="majorHAnsi" w:hAnsiTheme="majorHAnsi" w:cstheme="majorHAnsi"/>
          <w:kern w:val="3"/>
          <w:sz w:val="24"/>
          <w:szCs w:val="24"/>
        </w:rPr>
        <w:t>Il s’agit de créer une synergie entre pêcheurs, organisation professionnelle et scientifiques, comme cela a déjà pu se faire sur d’autres projets (Langoustes Rouges Reconquête, bar, homards).</w:t>
      </w:r>
    </w:p>
    <w:p w14:paraId="4BB91FA8" w14:textId="596891CD" w:rsidR="004A2D90" w:rsidRPr="00565A93" w:rsidRDefault="004A2D90" w:rsidP="00565A93">
      <w:pPr>
        <w:widowControl w:val="0"/>
        <w:autoSpaceDN w:val="0"/>
        <w:jc w:val="both"/>
        <w:rPr>
          <w:rFonts w:asciiTheme="majorHAnsi" w:hAnsiTheme="majorHAnsi" w:cstheme="majorHAnsi"/>
          <w:kern w:val="3"/>
          <w:sz w:val="24"/>
          <w:szCs w:val="24"/>
        </w:rPr>
      </w:pPr>
      <w:r w:rsidRPr="00565A93">
        <w:rPr>
          <w:rFonts w:asciiTheme="majorHAnsi" w:hAnsiTheme="majorHAnsi" w:cstheme="majorHAnsi"/>
          <w:kern w:val="3"/>
          <w:sz w:val="24"/>
          <w:szCs w:val="24"/>
        </w:rPr>
        <w:t xml:space="preserve">Le principal objectif de l’étude est d’évaluer précisément les biomasses totales et exploitables du gisement des Glénan pour les coquilles Saint-Jacques. </w:t>
      </w:r>
    </w:p>
    <w:p w14:paraId="5D2D4C8C" w14:textId="112B97B0" w:rsidR="004A2D90" w:rsidRPr="00565A93" w:rsidRDefault="004A2D90" w:rsidP="00565A93">
      <w:pPr>
        <w:widowControl w:val="0"/>
        <w:autoSpaceDN w:val="0"/>
        <w:jc w:val="both"/>
        <w:rPr>
          <w:rFonts w:asciiTheme="majorHAnsi" w:hAnsiTheme="majorHAnsi" w:cstheme="majorHAnsi"/>
          <w:kern w:val="3"/>
          <w:sz w:val="24"/>
          <w:szCs w:val="24"/>
        </w:rPr>
      </w:pPr>
      <w:r w:rsidRPr="00565A93">
        <w:rPr>
          <w:rFonts w:asciiTheme="majorHAnsi" w:hAnsiTheme="majorHAnsi" w:cstheme="majorHAnsi"/>
          <w:kern w:val="3"/>
          <w:sz w:val="24"/>
          <w:szCs w:val="24"/>
        </w:rPr>
        <w:t xml:space="preserve">Le protocole de suivi et de traitement des données sera </w:t>
      </w:r>
      <w:r w:rsidR="004F351F" w:rsidRPr="00565A93">
        <w:rPr>
          <w:rFonts w:asciiTheme="majorHAnsi" w:hAnsiTheme="majorHAnsi" w:cstheme="majorHAnsi"/>
          <w:kern w:val="3"/>
          <w:sz w:val="24"/>
          <w:szCs w:val="24"/>
        </w:rPr>
        <w:t>coconstruit</w:t>
      </w:r>
      <w:r w:rsidRPr="00565A93">
        <w:rPr>
          <w:rFonts w:asciiTheme="majorHAnsi" w:hAnsiTheme="majorHAnsi" w:cstheme="majorHAnsi"/>
          <w:kern w:val="3"/>
          <w:sz w:val="24"/>
          <w:szCs w:val="24"/>
        </w:rPr>
        <w:t xml:space="preserve"> entre Ifremer et le CDPMEM29. Ce protocole doit à terme être réalisé par les professionnels eux même. L’Institut est partenaire du CDPMEM29 sur ce programme. Sa mission principale sera de suivre et de valider les données récoltées lors des prospections</w:t>
      </w:r>
      <w:r w:rsidR="00AB266E">
        <w:rPr>
          <w:rFonts w:asciiTheme="majorHAnsi" w:hAnsiTheme="majorHAnsi" w:cstheme="majorHAnsi"/>
          <w:kern w:val="3"/>
          <w:sz w:val="24"/>
          <w:szCs w:val="24"/>
        </w:rPr>
        <w:t>.</w:t>
      </w:r>
    </w:p>
    <w:bookmarkEnd w:id="4"/>
    <w:p w14:paraId="3CE2ABC3" w14:textId="70EDF06C" w:rsidR="004A2D90" w:rsidRPr="00565A93" w:rsidRDefault="004A2D90" w:rsidP="00565A93">
      <w:pPr>
        <w:widowControl w:val="0"/>
        <w:autoSpaceDN w:val="0"/>
        <w:jc w:val="both"/>
        <w:rPr>
          <w:rFonts w:asciiTheme="majorHAnsi" w:hAnsiTheme="majorHAnsi" w:cstheme="majorHAnsi"/>
          <w:kern w:val="3"/>
          <w:sz w:val="24"/>
          <w:szCs w:val="24"/>
        </w:rPr>
      </w:pPr>
      <w:r w:rsidRPr="00565A93">
        <w:rPr>
          <w:rFonts w:asciiTheme="majorHAnsi" w:hAnsiTheme="majorHAnsi" w:cstheme="majorHAnsi"/>
          <w:kern w:val="3"/>
          <w:sz w:val="24"/>
          <w:szCs w:val="24"/>
        </w:rPr>
        <w:t xml:space="preserve">La collecte des données se fera par des navires de pêche qui effectueront des prospections sur des stations préalablement définies par les scientifiques, le Comité des pêches et les pêcheurs (utilisation de leurs connaissances empiriques). Ces prospections doivent notamment permettre d’acquérir de l’information sur les biomasses des gisements, la répartition des individus dans les cohortes et la répartition de la ressource au sein du gisement. </w:t>
      </w:r>
    </w:p>
    <w:p w14:paraId="71EB620C" w14:textId="24B4E8A1" w:rsidR="004A2D90" w:rsidRPr="00565A93" w:rsidRDefault="004A2D90" w:rsidP="00565A93">
      <w:pPr>
        <w:widowControl w:val="0"/>
        <w:autoSpaceDN w:val="0"/>
        <w:jc w:val="both"/>
        <w:rPr>
          <w:rFonts w:asciiTheme="majorHAnsi" w:hAnsiTheme="majorHAnsi" w:cstheme="majorHAnsi"/>
          <w:kern w:val="3"/>
          <w:sz w:val="24"/>
          <w:szCs w:val="24"/>
        </w:rPr>
      </w:pPr>
      <w:r w:rsidRPr="00565A93">
        <w:rPr>
          <w:rFonts w:asciiTheme="majorHAnsi" w:hAnsiTheme="majorHAnsi" w:cstheme="majorHAnsi"/>
          <w:kern w:val="3"/>
          <w:sz w:val="24"/>
          <w:szCs w:val="24"/>
        </w:rPr>
        <w:t xml:space="preserve">Idéalement, les prospections auront lieux </w:t>
      </w:r>
      <w:r w:rsidR="0000138C">
        <w:rPr>
          <w:rFonts w:asciiTheme="majorHAnsi" w:hAnsiTheme="majorHAnsi" w:cstheme="majorHAnsi"/>
          <w:kern w:val="3"/>
          <w:sz w:val="24"/>
          <w:szCs w:val="24"/>
        </w:rPr>
        <w:t xml:space="preserve">à compter du </w:t>
      </w:r>
      <w:r w:rsidR="00092EE9">
        <w:rPr>
          <w:rFonts w:asciiTheme="majorHAnsi" w:hAnsiTheme="majorHAnsi" w:cstheme="majorHAnsi"/>
          <w:kern w:val="3"/>
          <w:sz w:val="24"/>
          <w:szCs w:val="24"/>
        </w:rPr>
        <w:t>25</w:t>
      </w:r>
      <w:r w:rsidR="0000138C">
        <w:rPr>
          <w:rFonts w:asciiTheme="majorHAnsi" w:hAnsiTheme="majorHAnsi" w:cstheme="majorHAnsi"/>
          <w:kern w:val="3"/>
          <w:sz w:val="24"/>
          <w:szCs w:val="24"/>
        </w:rPr>
        <w:t xml:space="preserve"> </w:t>
      </w:r>
      <w:r w:rsidR="00092EE9">
        <w:rPr>
          <w:rFonts w:asciiTheme="majorHAnsi" w:hAnsiTheme="majorHAnsi" w:cstheme="majorHAnsi"/>
          <w:kern w:val="3"/>
          <w:sz w:val="24"/>
          <w:szCs w:val="24"/>
        </w:rPr>
        <w:t>janvier</w:t>
      </w:r>
      <w:r w:rsidR="004323C6">
        <w:rPr>
          <w:rFonts w:asciiTheme="majorHAnsi" w:hAnsiTheme="majorHAnsi" w:cstheme="majorHAnsi"/>
          <w:kern w:val="3"/>
          <w:sz w:val="24"/>
          <w:szCs w:val="24"/>
        </w:rPr>
        <w:t xml:space="preserve"> 202</w:t>
      </w:r>
      <w:r w:rsidR="00092EE9">
        <w:rPr>
          <w:rFonts w:asciiTheme="majorHAnsi" w:hAnsiTheme="majorHAnsi" w:cstheme="majorHAnsi"/>
          <w:kern w:val="3"/>
          <w:sz w:val="24"/>
          <w:szCs w:val="24"/>
        </w:rPr>
        <w:t>3</w:t>
      </w:r>
      <w:r w:rsidR="00AD6DEA">
        <w:rPr>
          <w:rFonts w:asciiTheme="majorHAnsi" w:hAnsiTheme="majorHAnsi" w:cstheme="majorHAnsi"/>
          <w:kern w:val="3"/>
          <w:sz w:val="24"/>
          <w:szCs w:val="24"/>
        </w:rPr>
        <w:t xml:space="preserve"> et pour une durée de </w:t>
      </w:r>
      <w:r w:rsidR="007E29DA">
        <w:rPr>
          <w:rFonts w:asciiTheme="majorHAnsi" w:hAnsiTheme="majorHAnsi" w:cstheme="majorHAnsi"/>
          <w:kern w:val="3"/>
          <w:sz w:val="24"/>
          <w:szCs w:val="24"/>
        </w:rPr>
        <w:t>trois jours minimums</w:t>
      </w:r>
      <w:r w:rsidR="00092EE9">
        <w:rPr>
          <w:rFonts w:asciiTheme="majorHAnsi" w:hAnsiTheme="majorHAnsi" w:cstheme="majorHAnsi"/>
          <w:kern w:val="3"/>
          <w:sz w:val="24"/>
          <w:szCs w:val="24"/>
        </w:rPr>
        <w:t xml:space="preserve">. </w:t>
      </w:r>
    </w:p>
    <w:p w14:paraId="7A0E28F8" w14:textId="369D7541" w:rsidR="00D251A2" w:rsidRDefault="00D251A2" w:rsidP="00565A93">
      <w:pPr>
        <w:jc w:val="both"/>
        <w:rPr>
          <w:rFonts w:asciiTheme="majorHAnsi" w:hAnsiTheme="majorHAnsi" w:cstheme="majorHAnsi"/>
          <w:sz w:val="24"/>
          <w:szCs w:val="24"/>
        </w:rPr>
      </w:pPr>
      <w:bookmarkStart w:id="5" w:name="_Hlk63341750"/>
    </w:p>
    <w:p w14:paraId="51A81142" w14:textId="1C8E4267" w:rsidR="00FA76D9" w:rsidRDefault="00FA76D9" w:rsidP="00565A93">
      <w:pPr>
        <w:jc w:val="both"/>
        <w:rPr>
          <w:rFonts w:asciiTheme="majorHAnsi" w:hAnsiTheme="majorHAnsi" w:cstheme="majorHAnsi"/>
          <w:sz w:val="24"/>
          <w:szCs w:val="24"/>
        </w:rPr>
      </w:pPr>
    </w:p>
    <w:p w14:paraId="18962DFB" w14:textId="77777777" w:rsidR="00FA76D9" w:rsidRPr="00565A93" w:rsidRDefault="00FA76D9" w:rsidP="00565A93">
      <w:pPr>
        <w:jc w:val="both"/>
        <w:rPr>
          <w:rFonts w:asciiTheme="majorHAnsi" w:hAnsiTheme="majorHAnsi" w:cstheme="majorHAnsi"/>
          <w:sz w:val="24"/>
          <w:szCs w:val="24"/>
        </w:rPr>
      </w:pPr>
    </w:p>
    <w:p w14:paraId="3E5A7E74" w14:textId="77777777" w:rsidR="004A2D90" w:rsidRPr="00565A93" w:rsidRDefault="004A2D90" w:rsidP="00565A93">
      <w:pPr>
        <w:pStyle w:val="Titre1"/>
        <w:jc w:val="both"/>
        <w:rPr>
          <w:rFonts w:cstheme="majorHAnsi"/>
          <w:sz w:val="24"/>
          <w:szCs w:val="24"/>
        </w:rPr>
      </w:pPr>
      <w:bookmarkStart w:id="6" w:name="_Hlk63341123"/>
      <w:r w:rsidRPr="00565A93">
        <w:rPr>
          <w:rFonts w:cstheme="majorHAnsi"/>
          <w:sz w:val="24"/>
          <w:szCs w:val="24"/>
        </w:rPr>
        <w:t xml:space="preserve">3- Prestations attendues </w:t>
      </w:r>
    </w:p>
    <w:p w14:paraId="30B1F23F" w14:textId="77777777" w:rsidR="004A2D90" w:rsidRPr="00565A93" w:rsidRDefault="004A2D90" w:rsidP="00565A93">
      <w:pPr>
        <w:spacing w:after="0" w:line="360" w:lineRule="auto"/>
        <w:jc w:val="both"/>
        <w:rPr>
          <w:rFonts w:asciiTheme="majorHAnsi" w:hAnsiTheme="majorHAnsi" w:cstheme="majorHAnsi"/>
          <w:color w:val="000000" w:themeColor="text1"/>
          <w:sz w:val="24"/>
          <w:szCs w:val="24"/>
        </w:rPr>
      </w:pPr>
    </w:p>
    <w:p w14:paraId="35A72704" w14:textId="7813615E" w:rsidR="004A2D90" w:rsidRPr="00565A93" w:rsidRDefault="004A2D90" w:rsidP="00565A93">
      <w:p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Le Comité des pêches du Finistère souhaite </w:t>
      </w:r>
      <w:r w:rsidR="00FF558A" w:rsidRPr="00565A93">
        <w:rPr>
          <w:rFonts w:asciiTheme="majorHAnsi" w:hAnsiTheme="majorHAnsi" w:cstheme="majorHAnsi"/>
          <w:color w:val="000000" w:themeColor="text1"/>
          <w:sz w:val="24"/>
          <w:szCs w:val="24"/>
        </w:rPr>
        <w:t>affréter un navire de pêche pour</w:t>
      </w:r>
      <w:r w:rsidR="004F351F">
        <w:rPr>
          <w:rFonts w:asciiTheme="majorHAnsi" w:hAnsiTheme="majorHAnsi" w:cstheme="majorHAnsi"/>
          <w:color w:val="000000" w:themeColor="text1"/>
          <w:sz w:val="24"/>
          <w:szCs w:val="24"/>
        </w:rPr>
        <w:t xml:space="preserve"> un maximum de</w:t>
      </w:r>
      <w:r w:rsidR="00FF558A" w:rsidRPr="00565A93">
        <w:rPr>
          <w:rFonts w:asciiTheme="majorHAnsi" w:hAnsiTheme="majorHAnsi" w:cstheme="majorHAnsi"/>
          <w:color w:val="000000" w:themeColor="text1"/>
          <w:sz w:val="24"/>
          <w:szCs w:val="24"/>
        </w:rPr>
        <w:t xml:space="preserve"> </w:t>
      </w:r>
      <w:r w:rsidR="004323C6">
        <w:rPr>
          <w:rFonts w:asciiTheme="majorHAnsi" w:hAnsiTheme="majorHAnsi" w:cstheme="majorHAnsi"/>
          <w:color w:val="000000" w:themeColor="text1"/>
          <w:sz w:val="24"/>
          <w:szCs w:val="24"/>
        </w:rPr>
        <w:t>1</w:t>
      </w:r>
      <w:r w:rsidR="00FF558A" w:rsidRPr="00565A93">
        <w:rPr>
          <w:rFonts w:asciiTheme="majorHAnsi" w:hAnsiTheme="majorHAnsi" w:cstheme="majorHAnsi"/>
          <w:color w:val="000000" w:themeColor="text1"/>
          <w:sz w:val="24"/>
          <w:szCs w:val="24"/>
        </w:rPr>
        <w:t xml:space="preserve">5 jours de mer. </w:t>
      </w:r>
    </w:p>
    <w:p w14:paraId="6D6A01A4" w14:textId="77777777" w:rsidR="00FF558A" w:rsidRPr="00565A93" w:rsidRDefault="00FF558A" w:rsidP="00565A93">
      <w:pPr>
        <w:spacing w:after="0" w:line="360" w:lineRule="auto"/>
        <w:jc w:val="both"/>
        <w:rPr>
          <w:rFonts w:asciiTheme="majorHAnsi" w:hAnsiTheme="majorHAnsi" w:cstheme="majorHAnsi"/>
          <w:color w:val="000000" w:themeColor="text1"/>
          <w:sz w:val="24"/>
          <w:szCs w:val="24"/>
        </w:rPr>
      </w:pPr>
    </w:p>
    <w:p w14:paraId="0C7A92ED" w14:textId="07D34F18"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Le prestataire devra pouvoir déployer simultanément deux dragues.</w:t>
      </w:r>
    </w:p>
    <w:p w14:paraId="55633E20" w14:textId="548E27B0"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Le prestataire devra fournir une drague d’utilisation commerciale normalisée pour le gisement.</w:t>
      </w:r>
    </w:p>
    <w:p w14:paraId="3A285963" w14:textId="51549258"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Le prestataire devra pouvoir embarquer </w:t>
      </w:r>
      <w:r w:rsidR="00FF558A" w:rsidRPr="00565A93">
        <w:rPr>
          <w:rFonts w:asciiTheme="majorHAnsi" w:hAnsiTheme="majorHAnsi" w:cstheme="majorHAnsi"/>
          <w:color w:val="000000" w:themeColor="text1"/>
          <w:sz w:val="24"/>
          <w:szCs w:val="24"/>
        </w:rPr>
        <w:t>à minima deux personnes dédiées au programme</w:t>
      </w:r>
    </w:p>
    <w:p w14:paraId="5B533C06" w14:textId="67E5D668"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Le prestataire</w:t>
      </w:r>
      <w:r w:rsidR="00FF558A" w:rsidRPr="00565A93">
        <w:rPr>
          <w:rFonts w:asciiTheme="majorHAnsi" w:hAnsiTheme="majorHAnsi" w:cstheme="majorHAnsi"/>
          <w:color w:val="000000" w:themeColor="text1"/>
          <w:sz w:val="24"/>
          <w:szCs w:val="24"/>
        </w:rPr>
        <w:t xml:space="preserve"> devra avoir une connaissance fine du gisement</w:t>
      </w:r>
      <w:r w:rsidRPr="00565A93">
        <w:rPr>
          <w:rFonts w:asciiTheme="majorHAnsi" w:hAnsiTheme="majorHAnsi" w:cstheme="majorHAnsi"/>
          <w:color w:val="000000" w:themeColor="text1"/>
          <w:sz w:val="24"/>
          <w:szCs w:val="24"/>
        </w:rPr>
        <w:t xml:space="preserve">, </w:t>
      </w:r>
    </w:p>
    <w:p w14:paraId="30F19866" w14:textId="77777777" w:rsidR="004A2D90" w:rsidRDefault="004A2D90" w:rsidP="00565A93">
      <w:pPr>
        <w:spacing w:after="0" w:line="360" w:lineRule="auto"/>
        <w:jc w:val="both"/>
        <w:rPr>
          <w:rFonts w:asciiTheme="majorHAnsi" w:hAnsiTheme="majorHAnsi" w:cstheme="majorHAnsi"/>
          <w:sz w:val="24"/>
          <w:szCs w:val="24"/>
        </w:rPr>
      </w:pPr>
    </w:p>
    <w:p w14:paraId="487DA8CD" w14:textId="77777777" w:rsidR="00565A93" w:rsidRDefault="00565A93" w:rsidP="00565A93">
      <w:pPr>
        <w:spacing w:after="0" w:line="360" w:lineRule="auto"/>
        <w:jc w:val="both"/>
        <w:rPr>
          <w:rFonts w:asciiTheme="majorHAnsi" w:hAnsiTheme="majorHAnsi" w:cstheme="majorHAnsi"/>
          <w:sz w:val="24"/>
          <w:szCs w:val="24"/>
        </w:rPr>
      </w:pPr>
    </w:p>
    <w:p w14:paraId="7BFE8190" w14:textId="77777777" w:rsidR="00565A93" w:rsidRDefault="00565A93" w:rsidP="00565A93">
      <w:pPr>
        <w:spacing w:after="0" w:line="360" w:lineRule="auto"/>
        <w:jc w:val="both"/>
        <w:rPr>
          <w:rFonts w:asciiTheme="majorHAnsi" w:hAnsiTheme="majorHAnsi" w:cstheme="majorHAnsi"/>
          <w:sz w:val="24"/>
          <w:szCs w:val="24"/>
        </w:rPr>
      </w:pPr>
    </w:p>
    <w:p w14:paraId="45A80C93" w14:textId="77777777" w:rsidR="00B0625E" w:rsidRPr="00B0625E" w:rsidRDefault="00B0625E" w:rsidP="00B0625E"/>
    <w:p w14:paraId="3F70587F" w14:textId="11297324" w:rsidR="004A2D90" w:rsidRPr="00565A93" w:rsidRDefault="004A2D90" w:rsidP="00565A93">
      <w:pPr>
        <w:pStyle w:val="Titre1"/>
        <w:jc w:val="both"/>
        <w:rPr>
          <w:rFonts w:cstheme="majorHAnsi"/>
          <w:sz w:val="24"/>
          <w:szCs w:val="24"/>
        </w:rPr>
      </w:pPr>
      <w:r w:rsidRPr="00565A93">
        <w:rPr>
          <w:rFonts w:cstheme="majorHAnsi"/>
          <w:sz w:val="24"/>
          <w:szCs w:val="24"/>
        </w:rPr>
        <w:t xml:space="preserve">4- Votre proposition </w:t>
      </w:r>
    </w:p>
    <w:p w14:paraId="53FFD900" w14:textId="77777777" w:rsidR="004A2D90" w:rsidRPr="00565A93" w:rsidRDefault="004A2D90" w:rsidP="00565A93">
      <w:pPr>
        <w:spacing w:after="0" w:line="360" w:lineRule="auto"/>
        <w:jc w:val="both"/>
        <w:rPr>
          <w:rFonts w:asciiTheme="majorHAnsi" w:hAnsiTheme="majorHAnsi" w:cstheme="majorHAnsi"/>
          <w:color w:val="000000" w:themeColor="text1"/>
          <w:sz w:val="24"/>
          <w:szCs w:val="24"/>
        </w:rPr>
      </w:pPr>
    </w:p>
    <w:p w14:paraId="1934BF2D" w14:textId="2E893477" w:rsidR="004A2D90" w:rsidRPr="00565A93" w:rsidRDefault="004A2D90" w:rsidP="00565A93">
      <w:p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Les offres devront parvenir au Comité des pêches du Finistère au plus tard le </w:t>
      </w:r>
      <w:r w:rsidR="004C06F4">
        <w:rPr>
          <w:rFonts w:asciiTheme="majorHAnsi" w:hAnsiTheme="majorHAnsi" w:cstheme="majorHAnsi"/>
          <w:color w:val="000000" w:themeColor="text1"/>
          <w:sz w:val="24"/>
          <w:szCs w:val="24"/>
        </w:rPr>
        <w:t>2</w:t>
      </w:r>
      <w:r w:rsidR="00092EE9">
        <w:rPr>
          <w:rFonts w:asciiTheme="majorHAnsi" w:hAnsiTheme="majorHAnsi" w:cstheme="majorHAnsi"/>
          <w:color w:val="000000" w:themeColor="text1"/>
          <w:sz w:val="24"/>
          <w:szCs w:val="24"/>
        </w:rPr>
        <w:t>0</w:t>
      </w:r>
      <w:r w:rsidR="00CC1535">
        <w:rPr>
          <w:rFonts w:asciiTheme="majorHAnsi" w:hAnsiTheme="majorHAnsi" w:cstheme="majorHAnsi"/>
          <w:color w:val="000000" w:themeColor="text1"/>
          <w:sz w:val="24"/>
          <w:szCs w:val="24"/>
        </w:rPr>
        <w:t xml:space="preserve"> </w:t>
      </w:r>
      <w:r w:rsidR="00092EE9">
        <w:rPr>
          <w:rFonts w:asciiTheme="majorHAnsi" w:hAnsiTheme="majorHAnsi" w:cstheme="majorHAnsi"/>
          <w:color w:val="000000" w:themeColor="text1"/>
          <w:sz w:val="24"/>
          <w:szCs w:val="24"/>
        </w:rPr>
        <w:t xml:space="preserve">janvier </w:t>
      </w:r>
      <w:r w:rsidR="00CC1535">
        <w:rPr>
          <w:rFonts w:asciiTheme="majorHAnsi" w:hAnsiTheme="majorHAnsi" w:cstheme="majorHAnsi"/>
          <w:color w:val="000000" w:themeColor="text1"/>
          <w:sz w:val="24"/>
          <w:szCs w:val="24"/>
        </w:rPr>
        <w:t>202</w:t>
      </w:r>
      <w:r w:rsidR="00092EE9">
        <w:rPr>
          <w:rFonts w:asciiTheme="majorHAnsi" w:hAnsiTheme="majorHAnsi" w:cstheme="majorHAnsi"/>
          <w:color w:val="000000" w:themeColor="text1"/>
          <w:sz w:val="24"/>
          <w:szCs w:val="24"/>
        </w:rPr>
        <w:t>3</w:t>
      </w:r>
      <w:r w:rsidR="0047036B" w:rsidRPr="00565A93">
        <w:rPr>
          <w:rFonts w:asciiTheme="majorHAnsi" w:hAnsiTheme="majorHAnsi" w:cstheme="majorHAnsi"/>
          <w:color w:val="000000" w:themeColor="text1"/>
          <w:sz w:val="24"/>
          <w:szCs w:val="24"/>
        </w:rPr>
        <w:t xml:space="preserve"> </w:t>
      </w:r>
      <w:r w:rsidRPr="00565A93">
        <w:rPr>
          <w:rFonts w:asciiTheme="majorHAnsi" w:hAnsiTheme="majorHAnsi" w:cstheme="majorHAnsi"/>
          <w:color w:val="000000" w:themeColor="text1"/>
          <w:sz w:val="24"/>
          <w:szCs w:val="24"/>
        </w:rPr>
        <w:t xml:space="preserve">à </w:t>
      </w:r>
      <w:r w:rsidR="00B0625E">
        <w:rPr>
          <w:rFonts w:asciiTheme="majorHAnsi" w:hAnsiTheme="majorHAnsi" w:cstheme="majorHAnsi"/>
          <w:color w:val="000000" w:themeColor="text1"/>
          <w:sz w:val="24"/>
          <w:szCs w:val="24"/>
        </w:rPr>
        <w:t>1</w:t>
      </w:r>
      <w:r w:rsidR="00092EE9">
        <w:rPr>
          <w:rFonts w:asciiTheme="majorHAnsi" w:hAnsiTheme="majorHAnsi" w:cstheme="majorHAnsi"/>
          <w:color w:val="000000" w:themeColor="text1"/>
          <w:sz w:val="24"/>
          <w:szCs w:val="24"/>
        </w:rPr>
        <w:t>2</w:t>
      </w:r>
      <w:r w:rsidR="00EA343E">
        <w:rPr>
          <w:rFonts w:asciiTheme="majorHAnsi" w:hAnsiTheme="majorHAnsi" w:cstheme="majorHAnsi"/>
          <w:color w:val="000000" w:themeColor="text1"/>
          <w:sz w:val="24"/>
          <w:szCs w:val="24"/>
        </w:rPr>
        <w:t xml:space="preserve"> </w:t>
      </w:r>
      <w:r w:rsidRPr="00565A93">
        <w:rPr>
          <w:rFonts w:asciiTheme="majorHAnsi" w:hAnsiTheme="majorHAnsi" w:cstheme="majorHAnsi"/>
          <w:color w:val="000000" w:themeColor="text1"/>
          <w:sz w:val="24"/>
          <w:szCs w:val="24"/>
        </w:rPr>
        <w:t xml:space="preserve">heures : </w:t>
      </w:r>
    </w:p>
    <w:p w14:paraId="1796E396" w14:textId="77777777" w:rsidR="004A2D90" w:rsidRPr="00565A93" w:rsidRDefault="004A2D90" w:rsidP="00565A93">
      <w:pPr>
        <w:spacing w:after="0" w:line="360" w:lineRule="auto"/>
        <w:jc w:val="both"/>
        <w:rPr>
          <w:rFonts w:asciiTheme="majorHAnsi" w:hAnsiTheme="majorHAnsi" w:cstheme="majorHAnsi"/>
          <w:color w:val="000000" w:themeColor="text1"/>
          <w:sz w:val="24"/>
          <w:szCs w:val="24"/>
        </w:rPr>
      </w:pPr>
    </w:p>
    <w:p w14:paraId="12A5BADA" w14:textId="42D41849" w:rsidR="004A2D90" w:rsidRPr="00565A93" w:rsidRDefault="004A2D90" w:rsidP="00565A93">
      <w:p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Par email : </w:t>
      </w:r>
      <w:hyperlink r:id="rId9" w:history="1">
        <w:r w:rsidR="00FF558A" w:rsidRPr="00565A93">
          <w:rPr>
            <w:rStyle w:val="Lienhypertexte"/>
            <w:rFonts w:asciiTheme="majorHAnsi" w:hAnsiTheme="majorHAnsi" w:cstheme="majorHAnsi"/>
            <w:sz w:val="24"/>
            <w:szCs w:val="24"/>
          </w:rPr>
          <w:t>abjean.cdpmem29@gmail.com</w:t>
        </w:r>
      </w:hyperlink>
      <w:r w:rsidR="00FF558A" w:rsidRPr="00565A93">
        <w:rPr>
          <w:rFonts w:asciiTheme="majorHAnsi" w:hAnsiTheme="majorHAnsi" w:cstheme="majorHAnsi"/>
          <w:color w:val="000000" w:themeColor="text1"/>
          <w:sz w:val="24"/>
          <w:szCs w:val="24"/>
        </w:rPr>
        <w:t xml:space="preserve"> / </w:t>
      </w:r>
      <w:hyperlink r:id="rId10" w:history="1">
        <w:r w:rsidR="00EA343E" w:rsidRPr="00413E1D">
          <w:rPr>
            <w:rStyle w:val="Lienhypertexte"/>
            <w:rFonts w:asciiTheme="majorHAnsi" w:hAnsiTheme="majorHAnsi" w:cstheme="majorHAnsi"/>
            <w:sz w:val="24"/>
            <w:szCs w:val="24"/>
          </w:rPr>
          <w:t>greve.cdpmem29@gmail.com</w:t>
        </w:r>
      </w:hyperlink>
    </w:p>
    <w:p w14:paraId="7AFDEA00" w14:textId="50BDECF0" w:rsidR="004A2D90" w:rsidRPr="00565A93" w:rsidRDefault="004A2D90" w:rsidP="00565A93">
      <w:p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Par courrier : </w:t>
      </w:r>
      <w:r w:rsidR="001211D4">
        <w:rPr>
          <w:rFonts w:asciiTheme="majorHAnsi" w:hAnsiTheme="majorHAnsi" w:cstheme="majorHAnsi"/>
          <w:color w:val="000000" w:themeColor="text1"/>
          <w:sz w:val="24"/>
          <w:szCs w:val="24"/>
        </w:rPr>
        <w:t>A</w:t>
      </w:r>
      <w:r w:rsidRPr="00565A93">
        <w:rPr>
          <w:rFonts w:asciiTheme="majorHAnsi" w:hAnsiTheme="majorHAnsi" w:cstheme="majorHAnsi"/>
          <w:color w:val="000000" w:themeColor="text1"/>
          <w:sz w:val="24"/>
          <w:szCs w:val="24"/>
        </w:rPr>
        <w:t xml:space="preserve">. </w:t>
      </w:r>
      <w:r w:rsidR="001211D4">
        <w:rPr>
          <w:rFonts w:asciiTheme="majorHAnsi" w:hAnsiTheme="majorHAnsi" w:cstheme="majorHAnsi"/>
          <w:color w:val="000000" w:themeColor="text1"/>
          <w:sz w:val="24"/>
          <w:szCs w:val="24"/>
        </w:rPr>
        <w:t>Grève</w:t>
      </w:r>
      <w:r w:rsidRPr="00565A93">
        <w:rPr>
          <w:rFonts w:asciiTheme="majorHAnsi" w:hAnsiTheme="majorHAnsi" w:cstheme="majorHAnsi"/>
          <w:color w:val="000000" w:themeColor="text1"/>
          <w:sz w:val="24"/>
          <w:szCs w:val="24"/>
        </w:rPr>
        <w:t xml:space="preserve"> – Comités des pêches du Finistère - 22 avenue du </w:t>
      </w:r>
      <w:proofErr w:type="spellStart"/>
      <w:r w:rsidRPr="00565A93">
        <w:rPr>
          <w:rFonts w:asciiTheme="majorHAnsi" w:hAnsiTheme="majorHAnsi" w:cstheme="majorHAnsi"/>
          <w:color w:val="000000" w:themeColor="text1"/>
          <w:sz w:val="24"/>
          <w:szCs w:val="24"/>
        </w:rPr>
        <w:t>Rouillen</w:t>
      </w:r>
      <w:proofErr w:type="spellEnd"/>
      <w:r w:rsidRPr="00565A93">
        <w:rPr>
          <w:rFonts w:asciiTheme="majorHAnsi" w:hAnsiTheme="majorHAnsi" w:cstheme="majorHAnsi"/>
          <w:color w:val="000000" w:themeColor="text1"/>
          <w:sz w:val="24"/>
          <w:szCs w:val="24"/>
        </w:rPr>
        <w:t xml:space="preserve"> - 29500 - Ergué-Gabéric </w:t>
      </w:r>
    </w:p>
    <w:p w14:paraId="7A06F3AA" w14:textId="77777777" w:rsidR="004A2D90" w:rsidRPr="00565A93" w:rsidRDefault="004A2D90" w:rsidP="00565A93">
      <w:pPr>
        <w:spacing w:after="0" w:line="360" w:lineRule="auto"/>
        <w:jc w:val="both"/>
        <w:rPr>
          <w:rFonts w:asciiTheme="majorHAnsi" w:hAnsiTheme="majorHAnsi" w:cstheme="majorHAnsi"/>
          <w:color w:val="000000" w:themeColor="text1"/>
          <w:sz w:val="24"/>
          <w:szCs w:val="24"/>
        </w:rPr>
      </w:pPr>
    </w:p>
    <w:p w14:paraId="77BEAFB9" w14:textId="77777777" w:rsidR="004A2D90" w:rsidRPr="00565A93" w:rsidRDefault="004A2D90" w:rsidP="00565A93">
      <w:p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Dans chaque candidature, le prestataire devra : </w:t>
      </w:r>
    </w:p>
    <w:p w14:paraId="3E226B88" w14:textId="2187968D"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Faire une offre de prix détaillé, </w:t>
      </w:r>
    </w:p>
    <w:p w14:paraId="49840CC2" w14:textId="5D113161"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Présenter son expertise dans </w:t>
      </w:r>
      <w:r w:rsidR="00FF558A" w:rsidRPr="00565A93">
        <w:rPr>
          <w:rFonts w:asciiTheme="majorHAnsi" w:hAnsiTheme="majorHAnsi" w:cstheme="majorHAnsi"/>
          <w:color w:val="000000" w:themeColor="text1"/>
          <w:sz w:val="24"/>
          <w:szCs w:val="24"/>
        </w:rPr>
        <w:t>cette pêcherie</w:t>
      </w:r>
      <w:r w:rsidRPr="00565A93">
        <w:rPr>
          <w:rFonts w:asciiTheme="majorHAnsi" w:hAnsiTheme="majorHAnsi" w:cstheme="majorHAnsi"/>
          <w:color w:val="000000" w:themeColor="text1"/>
          <w:sz w:val="24"/>
          <w:szCs w:val="24"/>
        </w:rPr>
        <w:t xml:space="preserve">, </w:t>
      </w:r>
    </w:p>
    <w:p w14:paraId="69EA4BD6" w14:textId="77777777"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Le cas échéant, les partenaires associés sur tout ou partie de la prestation,</w:t>
      </w:r>
    </w:p>
    <w:p w14:paraId="5C6C3705" w14:textId="092D2B27" w:rsidR="004A2D90"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Toute autre information utile, apportant des précisions sur sa prestation.</w:t>
      </w:r>
    </w:p>
    <w:p w14:paraId="24DD2926" w14:textId="77777777" w:rsidR="00AB266E" w:rsidRPr="00565A93" w:rsidRDefault="00AB266E" w:rsidP="00AB266E">
      <w:pPr>
        <w:pStyle w:val="Paragraphedeliste"/>
        <w:spacing w:after="0" w:line="360" w:lineRule="auto"/>
        <w:jc w:val="both"/>
        <w:rPr>
          <w:rFonts w:asciiTheme="majorHAnsi" w:hAnsiTheme="majorHAnsi" w:cstheme="majorHAnsi"/>
          <w:color w:val="000000" w:themeColor="text1"/>
          <w:sz w:val="24"/>
          <w:szCs w:val="24"/>
        </w:rPr>
      </w:pPr>
    </w:p>
    <w:p w14:paraId="7B30ACBE" w14:textId="77777777" w:rsidR="004A2D90" w:rsidRPr="00565A93" w:rsidRDefault="004A2D90" w:rsidP="00565A93">
      <w:pPr>
        <w:pStyle w:val="Titre1"/>
        <w:jc w:val="both"/>
        <w:rPr>
          <w:rFonts w:cstheme="majorHAnsi"/>
          <w:sz w:val="24"/>
          <w:szCs w:val="24"/>
        </w:rPr>
      </w:pPr>
      <w:r w:rsidRPr="00565A93">
        <w:rPr>
          <w:rFonts w:cstheme="majorHAnsi"/>
          <w:sz w:val="24"/>
          <w:szCs w:val="24"/>
        </w:rPr>
        <w:t>5- Critères de sélection</w:t>
      </w:r>
    </w:p>
    <w:p w14:paraId="155FEF29" w14:textId="77777777" w:rsidR="004A2D90" w:rsidRPr="00565A93" w:rsidRDefault="004A2D90" w:rsidP="00565A93">
      <w:pPr>
        <w:spacing w:after="0" w:line="360" w:lineRule="auto"/>
        <w:jc w:val="both"/>
        <w:rPr>
          <w:rFonts w:asciiTheme="majorHAnsi" w:hAnsiTheme="majorHAnsi" w:cstheme="majorHAnsi"/>
          <w:color w:val="000000" w:themeColor="text1"/>
          <w:sz w:val="24"/>
          <w:szCs w:val="24"/>
        </w:rPr>
      </w:pPr>
    </w:p>
    <w:p w14:paraId="1C66AE5F" w14:textId="060B67D5" w:rsidR="004A2D90" w:rsidRPr="00565A93" w:rsidRDefault="004A2D90" w:rsidP="00565A93">
      <w:pPr>
        <w:pStyle w:val="Paragraphedeliste"/>
        <w:numPr>
          <w:ilvl w:val="0"/>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Valeur technique………………………………………………………………</w:t>
      </w:r>
      <w:proofErr w:type="gramStart"/>
      <w:r w:rsidRPr="00565A93">
        <w:rPr>
          <w:rFonts w:asciiTheme="majorHAnsi" w:hAnsiTheme="majorHAnsi" w:cstheme="majorHAnsi"/>
          <w:color w:val="000000" w:themeColor="text1"/>
          <w:sz w:val="24"/>
          <w:szCs w:val="24"/>
        </w:rPr>
        <w:t>…….</w:t>
      </w:r>
      <w:proofErr w:type="gramEnd"/>
      <w:r w:rsidR="00FF558A" w:rsidRPr="00565A93">
        <w:rPr>
          <w:rFonts w:asciiTheme="majorHAnsi" w:hAnsiTheme="majorHAnsi" w:cstheme="majorHAnsi"/>
          <w:color w:val="000000" w:themeColor="text1"/>
          <w:sz w:val="24"/>
          <w:szCs w:val="24"/>
        </w:rPr>
        <w:t>6</w:t>
      </w:r>
      <w:r w:rsidRPr="00565A93">
        <w:rPr>
          <w:rFonts w:asciiTheme="majorHAnsi" w:hAnsiTheme="majorHAnsi" w:cstheme="majorHAnsi"/>
          <w:color w:val="000000" w:themeColor="text1"/>
          <w:sz w:val="24"/>
          <w:szCs w:val="24"/>
        </w:rPr>
        <w:t>0%</w:t>
      </w:r>
    </w:p>
    <w:p w14:paraId="2A3C2803" w14:textId="5DEEC405" w:rsidR="004A2D90" w:rsidRPr="00565A93" w:rsidRDefault="00FF558A" w:rsidP="00565A93">
      <w:pPr>
        <w:pStyle w:val="Paragraphedeliste"/>
        <w:numPr>
          <w:ilvl w:val="1"/>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Expertise </w:t>
      </w:r>
      <w:r w:rsidR="004A2D90" w:rsidRPr="00565A93">
        <w:rPr>
          <w:rFonts w:asciiTheme="majorHAnsi" w:hAnsiTheme="majorHAnsi" w:cstheme="majorHAnsi"/>
          <w:color w:val="000000" w:themeColor="text1"/>
          <w:sz w:val="24"/>
          <w:szCs w:val="24"/>
        </w:rPr>
        <w:t xml:space="preserve"> </w:t>
      </w:r>
    </w:p>
    <w:p w14:paraId="60D7C917" w14:textId="23F62A39" w:rsidR="004A2D90" w:rsidRPr="00565A93" w:rsidRDefault="00FF558A" w:rsidP="00565A93">
      <w:pPr>
        <w:pStyle w:val="Paragraphedeliste"/>
        <w:numPr>
          <w:ilvl w:val="1"/>
          <w:numId w:val="3"/>
        </w:numPr>
        <w:spacing w:after="0" w:line="360" w:lineRule="auto"/>
        <w:jc w:val="both"/>
        <w:rPr>
          <w:rFonts w:asciiTheme="majorHAnsi" w:hAnsiTheme="majorHAnsi" w:cstheme="majorHAnsi"/>
          <w:color w:val="000000" w:themeColor="text1"/>
          <w:sz w:val="24"/>
          <w:szCs w:val="24"/>
        </w:rPr>
      </w:pPr>
      <w:r w:rsidRPr="00565A93">
        <w:rPr>
          <w:rFonts w:asciiTheme="majorHAnsi" w:hAnsiTheme="majorHAnsi" w:cstheme="majorHAnsi"/>
          <w:color w:val="000000" w:themeColor="text1"/>
          <w:sz w:val="24"/>
          <w:szCs w:val="24"/>
        </w:rPr>
        <w:t xml:space="preserve">Caractéristiques techniques du navire </w:t>
      </w:r>
    </w:p>
    <w:p w14:paraId="514A5491" w14:textId="77777777" w:rsidR="004A2D90" w:rsidRPr="00565A93" w:rsidRDefault="004A2D90" w:rsidP="00565A93">
      <w:pPr>
        <w:spacing w:after="0" w:line="360" w:lineRule="auto"/>
        <w:jc w:val="both"/>
        <w:rPr>
          <w:rFonts w:asciiTheme="majorHAnsi" w:hAnsiTheme="majorHAnsi" w:cstheme="majorHAnsi"/>
          <w:color w:val="000000" w:themeColor="text1"/>
          <w:sz w:val="24"/>
          <w:szCs w:val="24"/>
        </w:rPr>
      </w:pPr>
    </w:p>
    <w:p w14:paraId="2B9B1705" w14:textId="4463D2A1" w:rsidR="004A2D90" w:rsidRPr="00565A93" w:rsidRDefault="004A2D90" w:rsidP="00565A93">
      <w:pPr>
        <w:pStyle w:val="Paragraphedeliste"/>
        <w:numPr>
          <w:ilvl w:val="0"/>
          <w:numId w:val="3"/>
        </w:numPr>
        <w:jc w:val="both"/>
        <w:rPr>
          <w:rFonts w:asciiTheme="majorHAnsi" w:hAnsiTheme="majorHAnsi" w:cstheme="majorHAnsi"/>
          <w:sz w:val="24"/>
          <w:szCs w:val="24"/>
        </w:rPr>
      </w:pPr>
      <w:r w:rsidRPr="00565A93">
        <w:rPr>
          <w:rFonts w:asciiTheme="majorHAnsi" w:hAnsiTheme="majorHAnsi" w:cstheme="majorHAnsi"/>
          <w:color w:val="000000" w:themeColor="text1"/>
          <w:sz w:val="24"/>
          <w:szCs w:val="24"/>
        </w:rPr>
        <w:t>Compétitivité de la proposition financière…………………………………</w:t>
      </w:r>
      <w:proofErr w:type="gramStart"/>
      <w:r w:rsidRPr="00565A93">
        <w:rPr>
          <w:rFonts w:asciiTheme="majorHAnsi" w:hAnsiTheme="majorHAnsi" w:cstheme="majorHAnsi"/>
          <w:color w:val="000000" w:themeColor="text1"/>
          <w:sz w:val="24"/>
          <w:szCs w:val="24"/>
        </w:rPr>
        <w:t>…….</w:t>
      </w:r>
      <w:proofErr w:type="gramEnd"/>
      <w:r w:rsidR="00FF558A" w:rsidRPr="00565A93">
        <w:rPr>
          <w:rFonts w:asciiTheme="majorHAnsi" w:hAnsiTheme="majorHAnsi" w:cstheme="majorHAnsi"/>
          <w:color w:val="000000" w:themeColor="text1"/>
          <w:sz w:val="24"/>
          <w:szCs w:val="24"/>
        </w:rPr>
        <w:t>4</w:t>
      </w:r>
      <w:r w:rsidRPr="00565A93">
        <w:rPr>
          <w:rFonts w:asciiTheme="majorHAnsi" w:hAnsiTheme="majorHAnsi" w:cstheme="majorHAnsi"/>
          <w:color w:val="000000" w:themeColor="text1"/>
          <w:sz w:val="24"/>
          <w:szCs w:val="24"/>
        </w:rPr>
        <w:t>0%</w:t>
      </w:r>
    </w:p>
    <w:bookmarkEnd w:id="5"/>
    <w:bookmarkEnd w:id="6"/>
    <w:p w14:paraId="05DB04F9" w14:textId="77777777" w:rsidR="004A2D90" w:rsidRPr="00565A93" w:rsidRDefault="004A2D90" w:rsidP="00565A93">
      <w:pPr>
        <w:jc w:val="both"/>
        <w:rPr>
          <w:rFonts w:asciiTheme="majorHAnsi" w:hAnsiTheme="majorHAnsi" w:cstheme="majorHAnsi"/>
          <w:sz w:val="24"/>
          <w:szCs w:val="24"/>
        </w:rPr>
      </w:pPr>
    </w:p>
    <w:sectPr w:rsidR="004A2D90" w:rsidRPr="00565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35FE"/>
    <w:multiLevelType w:val="hybridMultilevel"/>
    <w:tmpl w:val="45B230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B4277B"/>
    <w:multiLevelType w:val="multilevel"/>
    <w:tmpl w:val="BFDE1D3E"/>
    <w:lvl w:ilvl="0">
      <w:start w:val="1"/>
      <w:numFmt w:val="decimal"/>
      <w:lvlText w:val="%1-"/>
      <w:lvlJc w:val="left"/>
      <w:pPr>
        <w:ind w:left="720" w:firstLine="0"/>
      </w:pPr>
    </w:lvl>
    <w:lvl w:ilvl="1">
      <w:start w:val="1"/>
      <w:numFmt w:val="decimal"/>
      <w:lvlText w:val="%1.%2"/>
      <w:lvlJc w:val="left"/>
      <w:pPr>
        <w:ind w:left="1080" w:firstLine="0"/>
      </w:pPr>
    </w:lvl>
    <w:lvl w:ilvl="2">
      <w:start w:val="1"/>
      <w:numFmt w:val="decimal"/>
      <w:lvlText w:val="%1.%2.%3"/>
      <w:lvlJc w:val="left"/>
      <w:pPr>
        <w:ind w:left="1440" w:firstLine="0"/>
      </w:pPr>
    </w:lvl>
    <w:lvl w:ilvl="3">
      <w:start w:val="1"/>
      <w:numFmt w:val="decimal"/>
      <w:lvlText w:val="%1.%2.%3.%4"/>
      <w:lvlJc w:val="left"/>
      <w:pPr>
        <w:ind w:left="1800" w:firstLine="0"/>
      </w:pPr>
    </w:lvl>
    <w:lvl w:ilvl="4">
      <w:start w:val="1"/>
      <w:numFmt w:val="decimal"/>
      <w:lvlText w:val="%1.%2.%3.%4.%5"/>
      <w:lvlJc w:val="left"/>
      <w:pPr>
        <w:ind w:left="2160" w:firstLine="0"/>
      </w:pPr>
    </w:lvl>
    <w:lvl w:ilvl="5">
      <w:start w:val="1"/>
      <w:numFmt w:val="decimal"/>
      <w:lvlText w:val="%1.%2.%3.%4.%5.%6"/>
      <w:lvlJc w:val="left"/>
      <w:pPr>
        <w:ind w:left="2520" w:firstLine="0"/>
      </w:pPr>
    </w:lvl>
    <w:lvl w:ilvl="6">
      <w:start w:val="1"/>
      <w:numFmt w:val="decimal"/>
      <w:lvlText w:val="%1.%2.%3.%4.%5.%6.%7"/>
      <w:lvlJc w:val="left"/>
      <w:pPr>
        <w:ind w:left="2880" w:firstLine="0"/>
      </w:pPr>
    </w:lvl>
    <w:lvl w:ilvl="7">
      <w:start w:val="1"/>
      <w:numFmt w:val="decimal"/>
      <w:lvlText w:val="%1.%2.%3.%4.%5.%6.%7.%8"/>
      <w:lvlJc w:val="left"/>
      <w:pPr>
        <w:ind w:left="3240" w:firstLine="0"/>
      </w:pPr>
    </w:lvl>
    <w:lvl w:ilvl="8">
      <w:start w:val="1"/>
      <w:numFmt w:val="decimal"/>
      <w:lvlText w:val="%1.%2.%3.%4.%5.%6.%7.%8.%9"/>
      <w:lvlJc w:val="left"/>
      <w:pPr>
        <w:ind w:left="3600" w:firstLine="0"/>
      </w:pPr>
    </w:lvl>
  </w:abstractNum>
  <w:abstractNum w:abstractNumId="2" w15:restartNumberingAfterBreak="0">
    <w:nsid w:val="7E671140"/>
    <w:multiLevelType w:val="hybridMultilevel"/>
    <w:tmpl w:val="4CFE070A"/>
    <w:lvl w:ilvl="0" w:tplc="EBA82F2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7781383">
    <w:abstractNumId w:val="1"/>
  </w:num>
  <w:num w:numId="2" w16cid:durableId="21058411">
    <w:abstractNumId w:val="0"/>
  </w:num>
  <w:num w:numId="3" w16cid:durableId="145478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90"/>
    <w:rsid w:val="0000138C"/>
    <w:rsid w:val="00092EE9"/>
    <w:rsid w:val="001211D4"/>
    <w:rsid w:val="0013476F"/>
    <w:rsid w:val="001C7833"/>
    <w:rsid w:val="004323C6"/>
    <w:rsid w:val="0047036B"/>
    <w:rsid w:val="004A2D90"/>
    <w:rsid w:val="004C06F4"/>
    <w:rsid w:val="004F351F"/>
    <w:rsid w:val="00565A93"/>
    <w:rsid w:val="005E1151"/>
    <w:rsid w:val="0076008C"/>
    <w:rsid w:val="007E29DA"/>
    <w:rsid w:val="009F1B2A"/>
    <w:rsid w:val="00AA0659"/>
    <w:rsid w:val="00AA3098"/>
    <w:rsid w:val="00AB266E"/>
    <w:rsid w:val="00AD6DEA"/>
    <w:rsid w:val="00AF085C"/>
    <w:rsid w:val="00B0625E"/>
    <w:rsid w:val="00B50068"/>
    <w:rsid w:val="00BE0B5E"/>
    <w:rsid w:val="00CB0C6C"/>
    <w:rsid w:val="00CC1535"/>
    <w:rsid w:val="00CF45EA"/>
    <w:rsid w:val="00D251A2"/>
    <w:rsid w:val="00D6099D"/>
    <w:rsid w:val="00E260F5"/>
    <w:rsid w:val="00E427FE"/>
    <w:rsid w:val="00EA343E"/>
    <w:rsid w:val="00EC3BB9"/>
    <w:rsid w:val="00FA76D9"/>
    <w:rsid w:val="00FF5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BC12"/>
  <w15:chartTrackingRefBased/>
  <w15:docId w15:val="{DFEA95A5-9D2A-4BD6-B104-746C5C8C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D90"/>
  </w:style>
  <w:style w:type="paragraph" w:styleId="Titre1">
    <w:name w:val="heading 1"/>
    <w:basedOn w:val="Normal"/>
    <w:next w:val="Normal"/>
    <w:link w:val="Titre1Car"/>
    <w:uiPriority w:val="9"/>
    <w:qFormat/>
    <w:rsid w:val="004A2D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A2D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A2D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2D9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A2D9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4A2D90"/>
    <w:pPr>
      <w:ind w:left="720"/>
      <w:contextualSpacing/>
    </w:pPr>
  </w:style>
  <w:style w:type="paragraph" w:styleId="NormalWeb">
    <w:name w:val="Normal (Web)"/>
    <w:basedOn w:val="Normal"/>
    <w:uiPriority w:val="99"/>
    <w:unhideWhenUsed/>
    <w:rsid w:val="004A2D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Bloc">
    <w:name w:val="Texte Bloc"/>
    <w:basedOn w:val="Normal"/>
    <w:qFormat/>
    <w:rsid w:val="004A2D90"/>
    <w:pPr>
      <w:spacing w:after="0" w:line="360" w:lineRule="auto"/>
      <w:jc w:val="both"/>
    </w:pPr>
    <w:rPr>
      <w:rFonts w:ascii="Trebuchet MS" w:eastAsia="Times New Roman" w:hAnsi="Trebuchet MS" w:cs="Georgia"/>
      <w:kern w:val="2"/>
      <w:sz w:val="21"/>
      <w:szCs w:val="21"/>
      <w:lang w:eastAsia="zh-CN"/>
    </w:rPr>
  </w:style>
  <w:style w:type="character" w:customStyle="1" w:styleId="Titre3Car">
    <w:name w:val="Titre 3 Car"/>
    <w:basedOn w:val="Policepardfaut"/>
    <w:link w:val="Titre3"/>
    <w:uiPriority w:val="9"/>
    <w:semiHidden/>
    <w:rsid w:val="004A2D90"/>
    <w:rPr>
      <w:rFonts w:asciiTheme="majorHAnsi" w:eastAsiaTheme="majorEastAsia" w:hAnsiTheme="majorHAnsi" w:cstheme="majorBidi"/>
      <w:color w:val="1F3763" w:themeColor="accent1" w:themeShade="7F"/>
      <w:sz w:val="24"/>
      <w:szCs w:val="24"/>
    </w:rPr>
  </w:style>
  <w:style w:type="paragraph" w:styleId="Lgende">
    <w:name w:val="caption"/>
    <w:basedOn w:val="Normal"/>
    <w:qFormat/>
    <w:rsid w:val="004A2D90"/>
    <w:pPr>
      <w:suppressLineNumbers/>
      <w:spacing w:before="120" w:after="120" w:line="360" w:lineRule="auto"/>
    </w:pPr>
    <w:rPr>
      <w:rFonts w:ascii="Georgia" w:eastAsia="Times New Roman" w:hAnsi="Georgia" w:cs="Mangal"/>
      <w:i/>
      <w:iCs/>
      <w:kern w:val="2"/>
      <w:sz w:val="24"/>
      <w:szCs w:val="24"/>
      <w:lang w:eastAsia="zh-CN"/>
    </w:rPr>
  </w:style>
  <w:style w:type="paragraph" w:customStyle="1" w:styleId="Textecourant">
    <w:name w:val="Texte courant"/>
    <w:qFormat/>
    <w:rsid w:val="004A2D90"/>
    <w:pPr>
      <w:spacing w:after="120" w:line="360" w:lineRule="auto"/>
      <w:jc w:val="both"/>
    </w:pPr>
    <w:rPr>
      <w:rFonts w:ascii="Georgia" w:eastAsia="Times New Roman" w:hAnsi="Georgia" w:cs="Georgia"/>
      <w:spacing w:val="-10"/>
      <w:kern w:val="2"/>
      <w:sz w:val="21"/>
      <w:szCs w:val="21"/>
      <w:lang w:eastAsia="zh-CN"/>
    </w:rPr>
  </w:style>
  <w:style w:type="character" w:styleId="Lienhypertexte">
    <w:name w:val="Hyperlink"/>
    <w:basedOn w:val="Policepardfaut"/>
    <w:uiPriority w:val="99"/>
    <w:unhideWhenUsed/>
    <w:rsid w:val="004A2D90"/>
    <w:rPr>
      <w:color w:val="0563C1" w:themeColor="hyperlink"/>
      <w:u w:val="single"/>
    </w:rPr>
  </w:style>
  <w:style w:type="character" w:styleId="Mentionnonrsolue">
    <w:name w:val="Unresolved Mention"/>
    <w:basedOn w:val="Policepardfaut"/>
    <w:uiPriority w:val="99"/>
    <w:semiHidden/>
    <w:unhideWhenUsed/>
    <w:rsid w:val="00FF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eve.cdpmem29@gmail.com" TargetMode="External"/><Relationship Id="rId4" Type="http://schemas.openxmlformats.org/officeDocument/2006/relationships/settings" Target="settings.xml"/><Relationship Id="rId9" Type="http://schemas.openxmlformats.org/officeDocument/2006/relationships/hyperlink" Target="mailto:abjean.cdpmem29@gmail.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tilisateurHP\Desktop\Coquillage%20p&#234;che%20embarqu&#233;epied\CSJ%20et%20coquillage\St&amp;tistiques%20CSJ\Stat%20B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tilisateurHP\Desktop\Coquillage%20p&#234;che%20embarqu&#233;epied\CSJ%20et%20coquillage\St&amp;tistiques%20CSJ\Stat%20Bo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Evolution</a:t>
            </a:r>
            <a:r>
              <a:rPr lang="fr-FR" sz="1200" baseline="0"/>
              <a:t> du nombre de licenciés</a:t>
            </a:r>
            <a:endParaRPr lang="fr-FR" sz="1200"/>
          </a:p>
        </c:rich>
      </c:tx>
      <c:overlay val="0"/>
    </c:title>
    <c:autoTitleDeleted val="0"/>
    <c:plotArea>
      <c:layout>
        <c:manualLayout>
          <c:layoutTarget val="inner"/>
          <c:xMode val="edge"/>
          <c:yMode val="edge"/>
          <c:x val="0.10867051766520729"/>
          <c:y val="0.15617266296468349"/>
          <c:w val="0.70091103305532898"/>
          <c:h val="0.6819697768725792"/>
        </c:manualLayout>
      </c:layout>
      <c:lineChart>
        <c:grouping val="standard"/>
        <c:varyColors val="0"/>
        <c:ser>
          <c:idx val="1"/>
          <c:order val="0"/>
          <c:tx>
            <c:v>Licences attribuées</c:v>
          </c:tx>
          <c:spPr>
            <a:ln w="34925">
              <a:solidFill>
                <a:srgbClr val="92D050"/>
              </a:solidFill>
            </a:ln>
          </c:spPr>
          <c:marker>
            <c:symbol val="none"/>
          </c:marker>
          <c:cat>
            <c:strRef>
              <c:f>CSJ_CC!$A$17:$A$50</c:f>
              <c:strCache>
                <c:ptCount val="34"/>
                <c:pt idx="0">
                  <c:v>85/86</c:v>
                </c:pt>
                <c:pt idx="1">
                  <c:v>86/87</c:v>
                </c:pt>
                <c:pt idx="2">
                  <c:v>87/88</c:v>
                </c:pt>
                <c:pt idx="3">
                  <c:v>88/89</c:v>
                </c:pt>
                <c:pt idx="4">
                  <c:v>89/90</c:v>
                </c:pt>
                <c:pt idx="5">
                  <c:v>90/91</c:v>
                </c:pt>
                <c:pt idx="6">
                  <c:v>91/92</c:v>
                </c:pt>
                <c:pt idx="7">
                  <c:v>92/93</c:v>
                </c:pt>
                <c:pt idx="8">
                  <c:v>93/94</c:v>
                </c:pt>
                <c:pt idx="9">
                  <c:v>94/95</c:v>
                </c:pt>
                <c:pt idx="10">
                  <c:v>95/96</c:v>
                </c:pt>
                <c:pt idx="11">
                  <c:v>96/97</c:v>
                </c:pt>
                <c:pt idx="12">
                  <c:v>97/98</c:v>
                </c:pt>
                <c:pt idx="13">
                  <c:v>98/99</c:v>
                </c:pt>
                <c:pt idx="14">
                  <c:v>99/00</c:v>
                </c:pt>
                <c:pt idx="15">
                  <c:v>00/01</c:v>
                </c:pt>
                <c:pt idx="16">
                  <c:v>01/02</c:v>
                </c:pt>
                <c:pt idx="17">
                  <c:v>02/03</c:v>
                </c:pt>
                <c:pt idx="18">
                  <c:v>03/04</c:v>
                </c:pt>
                <c:pt idx="19">
                  <c:v>04/05</c:v>
                </c:pt>
                <c:pt idx="20">
                  <c:v>05/06</c:v>
                </c:pt>
                <c:pt idx="21">
                  <c:v>06/07</c:v>
                </c:pt>
                <c:pt idx="22">
                  <c:v>07/08</c:v>
                </c:pt>
                <c:pt idx="23">
                  <c:v>08/09</c:v>
                </c:pt>
                <c:pt idx="24">
                  <c:v>09/10</c:v>
                </c:pt>
                <c:pt idx="25">
                  <c:v>10/11</c:v>
                </c:pt>
                <c:pt idx="26">
                  <c:v>11/12</c:v>
                </c:pt>
                <c:pt idx="27">
                  <c:v>12/13</c:v>
                </c:pt>
                <c:pt idx="28">
                  <c:v>13/14</c:v>
                </c:pt>
                <c:pt idx="29">
                  <c:v>14/15</c:v>
                </c:pt>
                <c:pt idx="30">
                  <c:v>15/16</c:v>
                </c:pt>
                <c:pt idx="31">
                  <c:v>16/17</c:v>
                </c:pt>
                <c:pt idx="32">
                  <c:v>17/18</c:v>
                </c:pt>
                <c:pt idx="33">
                  <c:v>18/19</c:v>
                </c:pt>
              </c:strCache>
            </c:strRef>
          </c:cat>
          <c:val>
            <c:numRef>
              <c:f>CSJ_CC!$C$17:$C$50</c:f>
              <c:numCache>
                <c:formatCode>0.00</c:formatCode>
                <c:ptCount val="34"/>
                <c:pt idx="0">
                  <c:v>66</c:v>
                </c:pt>
                <c:pt idx="1">
                  <c:v>66</c:v>
                </c:pt>
                <c:pt idx="2">
                  <c:v>49</c:v>
                </c:pt>
                <c:pt idx="3">
                  <c:v>38</c:v>
                </c:pt>
                <c:pt idx="4">
                  <c:v>35</c:v>
                </c:pt>
                <c:pt idx="5">
                  <c:v>32</c:v>
                </c:pt>
                <c:pt idx="6">
                  <c:v>37</c:v>
                </c:pt>
                <c:pt idx="7">
                  <c:v>37</c:v>
                </c:pt>
                <c:pt idx="8">
                  <c:v>37</c:v>
                </c:pt>
                <c:pt idx="9">
                  <c:v>45</c:v>
                </c:pt>
                <c:pt idx="10">
                  <c:v>43</c:v>
                </c:pt>
                <c:pt idx="11">
                  <c:v>45</c:v>
                </c:pt>
                <c:pt idx="12">
                  <c:v>45</c:v>
                </c:pt>
                <c:pt idx="13">
                  <c:v>40</c:v>
                </c:pt>
                <c:pt idx="14">
                  <c:v>45</c:v>
                </c:pt>
                <c:pt idx="15">
                  <c:v>45</c:v>
                </c:pt>
                <c:pt idx="16">
                  <c:v>45</c:v>
                </c:pt>
                <c:pt idx="17">
                  <c:v>42</c:v>
                </c:pt>
                <c:pt idx="18">
                  <c:v>39</c:v>
                </c:pt>
                <c:pt idx="19">
                  <c:v>33</c:v>
                </c:pt>
                <c:pt idx="20">
                  <c:v>34</c:v>
                </c:pt>
                <c:pt idx="21">
                  <c:v>30</c:v>
                </c:pt>
                <c:pt idx="22">
                  <c:v>30</c:v>
                </c:pt>
                <c:pt idx="23">
                  <c:v>26</c:v>
                </c:pt>
                <c:pt idx="24">
                  <c:v>26</c:v>
                </c:pt>
                <c:pt idx="25">
                  <c:v>24</c:v>
                </c:pt>
                <c:pt idx="26">
                  <c:v>18</c:v>
                </c:pt>
                <c:pt idx="27">
                  <c:v>16</c:v>
                </c:pt>
                <c:pt idx="28">
                  <c:v>17</c:v>
                </c:pt>
                <c:pt idx="29">
                  <c:v>22</c:v>
                </c:pt>
                <c:pt idx="30">
                  <c:v>24</c:v>
                </c:pt>
                <c:pt idx="31">
                  <c:v>24</c:v>
                </c:pt>
                <c:pt idx="32">
                  <c:v>22</c:v>
                </c:pt>
                <c:pt idx="33">
                  <c:v>21</c:v>
                </c:pt>
              </c:numCache>
            </c:numRef>
          </c:val>
          <c:smooth val="0"/>
          <c:extLst>
            <c:ext xmlns:c16="http://schemas.microsoft.com/office/drawing/2014/chart" uri="{C3380CC4-5D6E-409C-BE32-E72D297353CC}">
              <c16:uniqueId val="{00000000-6ABA-4A8C-A165-00AE060AF3F4}"/>
            </c:ext>
          </c:extLst>
        </c:ser>
        <c:dLbls>
          <c:showLegendKey val="0"/>
          <c:showVal val="0"/>
          <c:showCatName val="0"/>
          <c:showSerName val="0"/>
          <c:showPercent val="0"/>
          <c:showBubbleSize val="0"/>
        </c:dLbls>
        <c:smooth val="0"/>
        <c:axId val="158062848"/>
        <c:axId val="158072832"/>
      </c:lineChart>
      <c:catAx>
        <c:axId val="158062848"/>
        <c:scaling>
          <c:orientation val="minMax"/>
        </c:scaling>
        <c:delete val="0"/>
        <c:axPos val="b"/>
        <c:numFmt formatCode="General" sourceLinked="0"/>
        <c:majorTickMark val="none"/>
        <c:minorTickMark val="none"/>
        <c:tickLblPos val="nextTo"/>
        <c:crossAx val="158072832"/>
        <c:crosses val="autoZero"/>
        <c:auto val="1"/>
        <c:lblAlgn val="ctr"/>
        <c:lblOffset val="100"/>
        <c:noMultiLvlLbl val="0"/>
      </c:catAx>
      <c:valAx>
        <c:axId val="158072832"/>
        <c:scaling>
          <c:orientation val="minMax"/>
        </c:scaling>
        <c:delete val="0"/>
        <c:axPos val="l"/>
        <c:majorGridlines/>
        <c:numFmt formatCode="0.00" sourceLinked="1"/>
        <c:majorTickMark val="out"/>
        <c:minorTickMark val="none"/>
        <c:tickLblPos val="nextTo"/>
        <c:crossAx val="158062848"/>
        <c:crosses val="autoZero"/>
        <c:crossBetween val="between"/>
      </c:valAx>
    </c:plotArea>
    <c:legend>
      <c:legendPos val="r"/>
      <c:layout>
        <c:manualLayout>
          <c:xMode val="edge"/>
          <c:yMode val="edge"/>
          <c:x val="0.69995629032426721"/>
          <c:y val="0.36583264263019755"/>
          <c:w val="0.30004361505551763"/>
          <c:h val="7.5930772142879577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Production du gisement</a:t>
            </a:r>
            <a:r>
              <a:rPr lang="fr-FR" sz="1200" baseline="0"/>
              <a:t> de Concarneau (en Tonnes)</a:t>
            </a:r>
            <a:endParaRPr lang="fr-FR" sz="1200"/>
          </a:p>
        </c:rich>
      </c:tx>
      <c:overlay val="0"/>
    </c:title>
    <c:autoTitleDeleted val="0"/>
    <c:plotArea>
      <c:layout/>
      <c:barChart>
        <c:barDir val="col"/>
        <c:grouping val="clustered"/>
        <c:varyColors val="0"/>
        <c:ser>
          <c:idx val="2"/>
          <c:order val="0"/>
          <c:invertIfNegative val="0"/>
          <c:cat>
            <c:strRef>
              <c:f>CC_H!$A$15:$A$25</c:f>
              <c:strCache>
                <c:ptCount val="11"/>
                <c:pt idx="0">
                  <c:v>08/09</c:v>
                </c:pt>
                <c:pt idx="1">
                  <c:v>09/10</c:v>
                </c:pt>
                <c:pt idx="2">
                  <c:v>10/11</c:v>
                </c:pt>
                <c:pt idx="3">
                  <c:v>11/12</c:v>
                </c:pt>
                <c:pt idx="4">
                  <c:v>12/13</c:v>
                </c:pt>
                <c:pt idx="5">
                  <c:v>13/14</c:v>
                </c:pt>
                <c:pt idx="6">
                  <c:v>14/15</c:v>
                </c:pt>
                <c:pt idx="7">
                  <c:v>15/16</c:v>
                </c:pt>
                <c:pt idx="8">
                  <c:v>16/17</c:v>
                </c:pt>
                <c:pt idx="9">
                  <c:v>17/18</c:v>
                </c:pt>
                <c:pt idx="10">
                  <c:v>18/19</c:v>
                </c:pt>
              </c:strCache>
            </c:strRef>
          </c:cat>
          <c:val>
            <c:numRef>
              <c:f>CC_H!$D$15:$D$25</c:f>
              <c:numCache>
                <c:formatCode>0.0</c:formatCode>
                <c:ptCount val="11"/>
                <c:pt idx="0">
                  <c:v>118.369</c:v>
                </c:pt>
                <c:pt idx="1">
                  <c:v>63.503999999999998</c:v>
                </c:pt>
                <c:pt idx="2">
                  <c:v>21.498000000000001</c:v>
                </c:pt>
                <c:pt idx="3">
                  <c:v>2.8740000000000001</c:v>
                </c:pt>
                <c:pt idx="4">
                  <c:v>0</c:v>
                </c:pt>
                <c:pt idx="5">
                  <c:v>61.628999999999998</c:v>
                </c:pt>
                <c:pt idx="6">
                  <c:v>120.90300000000001</c:v>
                </c:pt>
                <c:pt idx="7">
                  <c:v>140.94499999999999</c:v>
                </c:pt>
                <c:pt idx="8">
                  <c:v>100.04900000000001</c:v>
                </c:pt>
                <c:pt idx="9">
                  <c:v>95</c:v>
                </c:pt>
                <c:pt idx="10">
                  <c:v>70</c:v>
                </c:pt>
              </c:numCache>
            </c:numRef>
          </c:val>
          <c:extLst>
            <c:ext xmlns:c16="http://schemas.microsoft.com/office/drawing/2014/chart" uri="{C3380CC4-5D6E-409C-BE32-E72D297353CC}">
              <c16:uniqueId val="{00000000-220D-4BAC-B271-4366250B6A8E}"/>
            </c:ext>
          </c:extLst>
        </c:ser>
        <c:dLbls>
          <c:showLegendKey val="0"/>
          <c:showVal val="0"/>
          <c:showCatName val="0"/>
          <c:showSerName val="0"/>
          <c:showPercent val="0"/>
          <c:showBubbleSize val="0"/>
        </c:dLbls>
        <c:gapWidth val="150"/>
        <c:axId val="160625792"/>
        <c:axId val="160627328"/>
      </c:barChart>
      <c:catAx>
        <c:axId val="160625792"/>
        <c:scaling>
          <c:orientation val="minMax"/>
        </c:scaling>
        <c:delete val="0"/>
        <c:axPos val="b"/>
        <c:numFmt formatCode="General" sourceLinked="0"/>
        <c:majorTickMark val="out"/>
        <c:minorTickMark val="none"/>
        <c:tickLblPos val="nextTo"/>
        <c:crossAx val="160627328"/>
        <c:crosses val="autoZero"/>
        <c:auto val="1"/>
        <c:lblAlgn val="ctr"/>
        <c:lblOffset val="100"/>
        <c:noMultiLvlLbl val="0"/>
      </c:catAx>
      <c:valAx>
        <c:axId val="160627328"/>
        <c:scaling>
          <c:orientation val="minMax"/>
        </c:scaling>
        <c:delete val="0"/>
        <c:axPos val="l"/>
        <c:majorGridlines/>
        <c:numFmt formatCode="0.0" sourceLinked="1"/>
        <c:majorTickMark val="out"/>
        <c:minorTickMark val="none"/>
        <c:tickLblPos val="nextTo"/>
        <c:crossAx val="1606257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E947C-D618-442C-9CF1-3F585927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1456</Words>
  <Characters>8009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Quéméneur</dc:creator>
  <cp:keywords/>
  <dc:description/>
  <cp:lastModifiedBy>ALEXANDRE GREVE</cp:lastModifiedBy>
  <cp:revision>27</cp:revision>
  <dcterms:created xsi:type="dcterms:W3CDTF">2022-10-04T07:11:00Z</dcterms:created>
  <dcterms:modified xsi:type="dcterms:W3CDTF">2023-01-12T14:09:00Z</dcterms:modified>
</cp:coreProperties>
</file>